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64" w:rsidRDefault="00650764" w:rsidP="00650764">
      <w:pPr>
        <w:rPr>
          <w:rFonts w:hint="cs"/>
          <w:sz w:val="30"/>
          <w:szCs w:val="24"/>
          <w:rtl/>
        </w:rPr>
      </w:pPr>
      <w:r>
        <w:rPr>
          <w:rFonts w:hint="cs"/>
          <w:sz w:val="30"/>
          <w:szCs w:val="24"/>
          <w:rtl/>
        </w:rPr>
        <w:t xml:space="preserve">נעם סמט </w:t>
      </w:r>
      <w:r>
        <w:rPr>
          <w:sz w:val="30"/>
          <w:szCs w:val="24"/>
          <w:rtl/>
        </w:rPr>
        <w:t>–</w:t>
      </w:r>
      <w:r>
        <w:rPr>
          <w:rFonts w:hint="cs"/>
          <w:sz w:val="30"/>
          <w:szCs w:val="24"/>
          <w:rtl/>
        </w:rPr>
        <w:t xml:space="preserve"> עבודת דוקטורט בנושא: </w:t>
      </w:r>
    </w:p>
    <w:p w:rsidR="00650764" w:rsidRPr="007D3BF9" w:rsidRDefault="00650764" w:rsidP="00650764">
      <w:pPr>
        <w:ind w:left="403"/>
        <w:jc w:val="center"/>
        <w:rPr>
          <w:rFonts w:hint="cs"/>
          <w:b/>
          <w:bCs/>
          <w:sz w:val="30"/>
          <w:szCs w:val="30"/>
          <w:rtl/>
        </w:rPr>
      </w:pPr>
      <w:r w:rsidRPr="007D3BF9">
        <w:rPr>
          <w:rStyle w:val="a6"/>
          <w:rFonts w:ascii="Arial" w:hAnsi="Arial" w:hint="cs"/>
          <w:sz w:val="30"/>
          <w:szCs w:val="30"/>
          <w:rtl/>
        </w:rPr>
        <w:t xml:space="preserve">ספר "קצות החושן" </w:t>
      </w:r>
      <w:r w:rsidRPr="007D3BF9">
        <w:rPr>
          <w:rStyle w:val="a6"/>
          <w:rFonts w:ascii="Arial" w:hAnsi="Arial"/>
          <w:sz w:val="30"/>
          <w:szCs w:val="30"/>
          <w:rtl/>
        </w:rPr>
        <w:t>–</w:t>
      </w:r>
      <w:r w:rsidRPr="007D3BF9">
        <w:rPr>
          <w:rStyle w:val="a6"/>
          <w:rFonts w:ascii="Arial" w:hAnsi="Arial" w:hint="cs"/>
          <w:sz w:val="30"/>
          <w:szCs w:val="30"/>
          <w:rtl/>
        </w:rPr>
        <w:t xml:space="preserve">  ראשית הלמדנות: מאפיינים ומגמות</w:t>
      </w:r>
    </w:p>
    <w:p w:rsidR="00650764" w:rsidRPr="007D3BF9" w:rsidRDefault="00650764" w:rsidP="00650764">
      <w:pPr>
        <w:ind w:left="403"/>
        <w:jc w:val="center"/>
        <w:rPr>
          <w:rStyle w:val="a6"/>
          <w:rFonts w:hint="cs"/>
          <w:sz w:val="30"/>
          <w:szCs w:val="30"/>
          <w:rtl/>
        </w:rPr>
      </w:pPr>
      <w:r w:rsidRPr="007D3BF9">
        <w:rPr>
          <w:rStyle w:val="a6"/>
          <w:sz w:val="30"/>
          <w:szCs w:val="30"/>
        </w:rPr>
        <w:t>"Ketsot Ha-Choshen" –</w:t>
      </w:r>
    </w:p>
    <w:p w:rsidR="00650764" w:rsidRPr="007D3BF9" w:rsidRDefault="00650764" w:rsidP="00650764">
      <w:pPr>
        <w:ind w:left="403"/>
        <w:jc w:val="center"/>
        <w:rPr>
          <w:rFonts w:hint="cs"/>
          <w:b/>
          <w:bCs/>
          <w:sz w:val="30"/>
          <w:szCs w:val="30"/>
          <w:rtl/>
        </w:rPr>
      </w:pPr>
      <w:r w:rsidRPr="007D3BF9">
        <w:rPr>
          <w:rStyle w:val="a6"/>
          <w:sz w:val="30"/>
          <w:szCs w:val="30"/>
        </w:rPr>
        <w:t xml:space="preserve">Beginning of the </w:t>
      </w:r>
      <w:r>
        <w:rPr>
          <w:rStyle w:val="a6"/>
          <w:sz w:val="30"/>
          <w:szCs w:val="30"/>
        </w:rPr>
        <w:t>"</w:t>
      </w:r>
      <w:r w:rsidRPr="007D3BF9">
        <w:rPr>
          <w:rStyle w:val="a6"/>
          <w:sz w:val="30"/>
          <w:szCs w:val="30"/>
        </w:rPr>
        <w:t>Lamdanut</w:t>
      </w:r>
      <w:r>
        <w:rPr>
          <w:rStyle w:val="a6"/>
          <w:sz w:val="30"/>
          <w:szCs w:val="30"/>
        </w:rPr>
        <w:t>"</w:t>
      </w:r>
      <w:r w:rsidRPr="007D3BF9">
        <w:rPr>
          <w:rStyle w:val="a6"/>
          <w:sz w:val="30"/>
          <w:szCs w:val="30"/>
        </w:rPr>
        <w:t xml:space="preserve">: Features &amp; </w:t>
      </w:r>
      <w:r w:rsidRPr="00400472">
        <w:rPr>
          <w:rStyle w:val="a6"/>
          <w:sz w:val="30"/>
          <w:szCs w:val="30"/>
        </w:rPr>
        <w:t>Tende</w:t>
      </w:r>
      <w:r>
        <w:rPr>
          <w:rStyle w:val="a6"/>
          <w:sz w:val="30"/>
          <w:szCs w:val="30"/>
        </w:rPr>
        <w:t>n</w:t>
      </w:r>
      <w:r w:rsidRPr="00400472">
        <w:rPr>
          <w:rStyle w:val="a6"/>
          <w:sz w:val="30"/>
          <w:szCs w:val="30"/>
        </w:rPr>
        <w:t>cies</w:t>
      </w:r>
    </w:p>
    <w:p w:rsidR="00650764" w:rsidRDefault="00650764" w:rsidP="00650764">
      <w:pPr>
        <w:rPr>
          <w:rFonts w:hint="cs"/>
          <w:sz w:val="30"/>
          <w:szCs w:val="24"/>
          <w:rtl/>
        </w:rPr>
      </w:pPr>
    </w:p>
    <w:p w:rsidR="00650764" w:rsidRDefault="00650764" w:rsidP="00650764">
      <w:pPr>
        <w:rPr>
          <w:rFonts w:hint="cs"/>
          <w:sz w:val="30"/>
          <w:szCs w:val="24"/>
          <w:rtl/>
        </w:rPr>
      </w:pPr>
      <w:r w:rsidRPr="007D3BF9">
        <w:rPr>
          <w:rFonts w:hint="cs"/>
          <w:sz w:val="30"/>
          <w:szCs w:val="24"/>
          <w:rtl/>
        </w:rPr>
        <w:t>עבוד</w:t>
      </w:r>
      <w:r>
        <w:rPr>
          <w:rFonts w:hint="cs"/>
          <w:sz w:val="30"/>
          <w:szCs w:val="24"/>
          <w:rtl/>
        </w:rPr>
        <w:t xml:space="preserve">ת הדוקטורט </w:t>
      </w:r>
      <w:r w:rsidRPr="007D3BF9">
        <w:rPr>
          <w:rFonts w:hint="cs"/>
          <w:sz w:val="30"/>
          <w:szCs w:val="24"/>
          <w:rtl/>
        </w:rPr>
        <w:t>מתעתדת להתמקד ב</w:t>
      </w:r>
      <w:r>
        <w:rPr>
          <w:rFonts w:hint="cs"/>
          <w:sz w:val="30"/>
          <w:szCs w:val="24"/>
          <w:rtl/>
        </w:rPr>
        <w:t xml:space="preserve">ספר </w:t>
      </w:r>
      <w:r>
        <w:rPr>
          <w:sz w:val="30"/>
          <w:szCs w:val="24"/>
          <w:rtl/>
        </w:rPr>
        <w:t>"</w:t>
      </w:r>
      <w:r>
        <w:rPr>
          <w:rFonts w:hint="cs"/>
          <w:sz w:val="30"/>
          <w:szCs w:val="24"/>
          <w:rtl/>
        </w:rPr>
        <w:t>קצות החושן</w:t>
      </w:r>
      <w:r>
        <w:rPr>
          <w:sz w:val="30"/>
          <w:szCs w:val="24"/>
          <w:rtl/>
        </w:rPr>
        <w:t>"</w:t>
      </w:r>
      <w:r>
        <w:rPr>
          <w:rFonts w:hint="cs"/>
          <w:sz w:val="30"/>
          <w:szCs w:val="24"/>
          <w:rtl/>
        </w:rPr>
        <w:t>, שה</w:t>
      </w:r>
      <w:r w:rsidRPr="007D3BF9">
        <w:rPr>
          <w:rFonts w:hint="cs"/>
          <w:sz w:val="30"/>
          <w:szCs w:val="24"/>
          <w:rtl/>
        </w:rPr>
        <w:t xml:space="preserve">וא אחד מן הפירות הראשונים של ספרות האחרונים בעת החדשה המאוחרת, ומשתקפים בו ניצניה של שיטת לימוד חדשה </w:t>
      </w:r>
      <w:r w:rsidRPr="007D3BF9">
        <w:rPr>
          <w:sz w:val="30"/>
          <w:szCs w:val="24"/>
          <w:rtl/>
        </w:rPr>
        <w:t>–</w:t>
      </w:r>
      <w:r w:rsidRPr="007D3BF9">
        <w:rPr>
          <w:rFonts w:hint="cs"/>
          <w:sz w:val="30"/>
          <w:szCs w:val="24"/>
          <w:rtl/>
        </w:rPr>
        <w:t xml:space="preserve"> ה</w:t>
      </w:r>
      <w:r>
        <w:rPr>
          <w:sz w:val="30"/>
          <w:szCs w:val="24"/>
          <w:rtl/>
        </w:rPr>
        <w:t>"</w:t>
      </w:r>
      <w:r w:rsidRPr="007D3BF9">
        <w:rPr>
          <w:rFonts w:hint="cs"/>
          <w:sz w:val="30"/>
          <w:szCs w:val="24"/>
          <w:rtl/>
        </w:rPr>
        <w:t>למדנות</w:t>
      </w:r>
      <w:r>
        <w:rPr>
          <w:sz w:val="30"/>
          <w:szCs w:val="24"/>
          <w:rtl/>
        </w:rPr>
        <w:t>"</w:t>
      </w:r>
      <w:r w:rsidRPr="007D3BF9">
        <w:rPr>
          <w:rFonts w:hint="cs"/>
          <w:sz w:val="30"/>
          <w:szCs w:val="24"/>
          <w:rtl/>
        </w:rPr>
        <w:t xml:space="preserve">. </w:t>
      </w:r>
    </w:p>
    <w:p w:rsidR="00650764" w:rsidRPr="007D3BF9" w:rsidRDefault="00650764" w:rsidP="00650764">
      <w:pPr>
        <w:rPr>
          <w:rFonts w:hint="cs"/>
          <w:sz w:val="30"/>
          <w:szCs w:val="24"/>
          <w:rtl/>
        </w:rPr>
      </w:pPr>
      <w:r>
        <w:rPr>
          <w:rFonts w:hint="cs"/>
          <w:sz w:val="30"/>
          <w:szCs w:val="24"/>
          <w:rtl/>
        </w:rPr>
        <w:t xml:space="preserve">להלן סקירה כללית של תהליכים בהתפתחותה של ספרות האחרונים, בנסיון למקם את ספר </w:t>
      </w:r>
      <w:r>
        <w:rPr>
          <w:sz w:val="30"/>
          <w:szCs w:val="24"/>
          <w:rtl/>
        </w:rPr>
        <w:t>"</w:t>
      </w:r>
      <w:r>
        <w:rPr>
          <w:rFonts w:hint="cs"/>
          <w:sz w:val="30"/>
          <w:szCs w:val="24"/>
          <w:rtl/>
        </w:rPr>
        <w:t>קצות החושן</w:t>
      </w:r>
      <w:r>
        <w:rPr>
          <w:sz w:val="30"/>
          <w:szCs w:val="24"/>
          <w:rtl/>
        </w:rPr>
        <w:t>"</w:t>
      </w:r>
      <w:r>
        <w:rPr>
          <w:rFonts w:hint="cs"/>
          <w:sz w:val="30"/>
          <w:szCs w:val="24"/>
          <w:rtl/>
        </w:rPr>
        <w:t xml:space="preserve"> ביחס למרחב הגדול של ספרות האחרונים. </w:t>
      </w:r>
    </w:p>
    <w:p w:rsidR="00650764" w:rsidRDefault="00650764" w:rsidP="00650764">
      <w:pPr>
        <w:rPr>
          <w:rFonts w:hint="cs"/>
          <w:sz w:val="24"/>
          <w:szCs w:val="24"/>
          <w:rtl/>
        </w:rPr>
      </w:pPr>
    </w:p>
    <w:p w:rsidR="00650764" w:rsidRPr="007D3BF9" w:rsidRDefault="00650764" w:rsidP="00650764">
      <w:pPr>
        <w:rPr>
          <w:rFonts w:hint="cs"/>
          <w:sz w:val="30"/>
          <w:szCs w:val="24"/>
          <w:rtl/>
        </w:rPr>
      </w:pPr>
      <w:r w:rsidRPr="007D3BF9">
        <w:rPr>
          <w:rFonts w:hint="cs"/>
          <w:sz w:val="30"/>
          <w:szCs w:val="24"/>
          <w:rtl/>
        </w:rPr>
        <w:t>מטרתו של המחקר הנוכחי היא לנסות ולהציע תיאור פנומנולוגי של ראשית הלמדנות המודרנית, תוך ניתוח דרכי החשיבה, הפרשנות והפסיקה של ספר "קצות החושן". בדברים שלעיל היצגתי את מקומו המרכזי של הספר בעולם הלמדני בכלל, ואת חשיבותו כסנונית הראשונה של הז</w:t>
      </w:r>
      <w:r>
        <w:rPr>
          <w:sz w:val="30"/>
          <w:szCs w:val="24"/>
          <w:rtl/>
        </w:rPr>
        <w:t>"</w:t>
      </w:r>
      <w:r w:rsidRPr="007D3BF9">
        <w:rPr>
          <w:rFonts w:hint="cs"/>
          <w:sz w:val="30"/>
          <w:szCs w:val="24"/>
          <w:rtl/>
        </w:rPr>
        <w:t xml:space="preserve">אנר הלמדני המודרני. לאור זה, אני מבקש להתבונן בספר </w:t>
      </w:r>
      <w:r>
        <w:rPr>
          <w:sz w:val="30"/>
          <w:szCs w:val="24"/>
          <w:rtl/>
        </w:rPr>
        <w:t>"</w:t>
      </w:r>
      <w:r w:rsidRPr="007D3BF9">
        <w:rPr>
          <w:rFonts w:hint="cs"/>
          <w:sz w:val="30"/>
          <w:szCs w:val="24"/>
          <w:rtl/>
        </w:rPr>
        <w:t>קצות החושן</w:t>
      </w:r>
      <w:r>
        <w:rPr>
          <w:sz w:val="30"/>
          <w:szCs w:val="24"/>
          <w:rtl/>
        </w:rPr>
        <w:t>"</w:t>
      </w:r>
      <w:r w:rsidRPr="007D3BF9">
        <w:rPr>
          <w:rFonts w:hint="cs"/>
          <w:sz w:val="30"/>
          <w:szCs w:val="24"/>
          <w:rtl/>
        </w:rPr>
        <w:t xml:space="preserve"> קודם כל מתוכו, בהתייחסות לתוכן </w:t>
      </w:r>
      <w:r w:rsidRPr="007D3BF9">
        <w:rPr>
          <w:sz w:val="30"/>
          <w:szCs w:val="24"/>
          <w:rtl/>
        </w:rPr>
        <w:t>–</w:t>
      </w:r>
      <w:r w:rsidRPr="007D3BF9">
        <w:rPr>
          <w:rFonts w:hint="cs"/>
          <w:sz w:val="30"/>
          <w:szCs w:val="24"/>
          <w:rtl/>
        </w:rPr>
        <w:t xml:space="preserve"> תפיסות היסוד המשפטיות המוצגות בספר, ולצורה </w:t>
      </w:r>
      <w:r w:rsidRPr="007D3BF9">
        <w:rPr>
          <w:sz w:val="30"/>
          <w:szCs w:val="24"/>
          <w:rtl/>
        </w:rPr>
        <w:t>–</w:t>
      </w:r>
      <w:r w:rsidRPr="007D3BF9">
        <w:rPr>
          <w:rFonts w:hint="cs"/>
          <w:sz w:val="30"/>
          <w:szCs w:val="24"/>
          <w:rtl/>
        </w:rPr>
        <w:t xml:space="preserve"> בניסיון לאפיין ולהגדיר את צורות החשיבה וזרמי העומק</w:t>
      </w:r>
      <w:r w:rsidRPr="007D3BF9">
        <w:rPr>
          <w:rStyle w:val="a5"/>
          <w:sz w:val="30"/>
          <w:szCs w:val="24"/>
          <w:rtl/>
        </w:rPr>
        <w:footnoteReference w:id="1"/>
      </w:r>
      <w:r w:rsidRPr="007D3BF9">
        <w:rPr>
          <w:rFonts w:hint="cs"/>
          <w:sz w:val="30"/>
          <w:szCs w:val="24"/>
          <w:rtl/>
        </w:rPr>
        <w:t xml:space="preserve"> שמייחדים את הספר. </w:t>
      </w:r>
    </w:p>
    <w:p w:rsidR="00650764" w:rsidRPr="007D3BF9" w:rsidRDefault="00650764" w:rsidP="00650764">
      <w:pPr>
        <w:rPr>
          <w:rFonts w:hint="cs"/>
          <w:sz w:val="30"/>
          <w:szCs w:val="24"/>
          <w:rtl/>
        </w:rPr>
      </w:pPr>
      <w:r w:rsidRPr="007D3BF9">
        <w:rPr>
          <w:rFonts w:hint="cs"/>
          <w:sz w:val="30"/>
          <w:szCs w:val="24"/>
          <w:rtl/>
        </w:rPr>
        <w:t>ניתוח כזה דורש גם התבוננות במקורות שבהם בוחר ה</w:t>
      </w:r>
      <w:r>
        <w:rPr>
          <w:sz w:val="30"/>
          <w:szCs w:val="24"/>
          <w:rtl/>
        </w:rPr>
        <w:t>"</w:t>
      </w:r>
      <w:r w:rsidRPr="007D3BF9">
        <w:rPr>
          <w:rFonts w:hint="cs"/>
          <w:sz w:val="30"/>
          <w:szCs w:val="24"/>
          <w:rtl/>
        </w:rPr>
        <w:t>קצות</w:t>
      </w:r>
      <w:r>
        <w:rPr>
          <w:sz w:val="30"/>
          <w:szCs w:val="24"/>
          <w:rtl/>
        </w:rPr>
        <w:t>"</w:t>
      </w:r>
      <w:r w:rsidRPr="007D3BF9">
        <w:rPr>
          <w:rFonts w:hint="cs"/>
          <w:sz w:val="30"/>
          <w:szCs w:val="24"/>
          <w:rtl/>
        </w:rPr>
        <w:t xml:space="preserve"> לעסוק, באופן שזירתם זה לזה, במבנה ההוכחות והטענות, בסוג השאלות שנשאלות וכד</w:t>
      </w:r>
      <w:r>
        <w:rPr>
          <w:sz w:val="30"/>
          <w:szCs w:val="24"/>
          <w:rtl/>
        </w:rPr>
        <w:t>"</w:t>
      </w:r>
      <w:r w:rsidRPr="007D3BF9">
        <w:rPr>
          <w:rFonts w:hint="cs"/>
          <w:sz w:val="30"/>
          <w:szCs w:val="24"/>
          <w:rtl/>
        </w:rPr>
        <w:t xml:space="preserve">. מהן השאלות שמעסיקות את בעל ה"קצות"? מהן דרכי הניתוח והלמידה שלו? מה יחסו למקורות שלפניו </w:t>
      </w:r>
      <w:r w:rsidRPr="007D3BF9">
        <w:rPr>
          <w:sz w:val="30"/>
          <w:szCs w:val="24"/>
          <w:rtl/>
        </w:rPr>
        <w:t>–</w:t>
      </w:r>
      <w:r w:rsidRPr="007D3BF9">
        <w:rPr>
          <w:rFonts w:hint="cs"/>
          <w:sz w:val="30"/>
          <w:szCs w:val="24"/>
          <w:rtl/>
        </w:rPr>
        <w:t xml:space="preserve"> באיזה אופן הוא מנתח אותם? באיזה מקורות הוא בוחר להשתמש? </w:t>
      </w:r>
    </w:p>
    <w:p w:rsidR="00650764" w:rsidRPr="007D3BF9" w:rsidRDefault="00650764" w:rsidP="00650764">
      <w:pPr>
        <w:rPr>
          <w:rFonts w:hint="cs"/>
          <w:sz w:val="30"/>
          <w:szCs w:val="24"/>
          <w:rtl/>
        </w:rPr>
      </w:pPr>
    </w:p>
    <w:p w:rsidR="00650764" w:rsidRDefault="00650764" w:rsidP="00650764">
      <w:pPr>
        <w:rPr>
          <w:rFonts w:hint="cs"/>
          <w:sz w:val="30"/>
          <w:szCs w:val="24"/>
          <w:rtl/>
        </w:rPr>
      </w:pPr>
      <w:r w:rsidRPr="007D3BF9">
        <w:rPr>
          <w:rFonts w:hint="cs"/>
          <w:sz w:val="30"/>
          <w:szCs w:val="24"/>
          <w:rtl/>
        </w:rPr>
        <w:t xml:space="preserve">ראשית העבודה היא במיפוי כללי של הספר עצמו, תוך נסיון לסמן חלקים או סימנים שבהם נראה שמתבלטת באופן מיוחד גישתו הלמדנית של </w:t>
      </w:r>
      <w:r>
        <w:rPr>
          <w:rFonts w:hint="cs"/>
          <w:sz w:val="30"/>
          <w:szCs w:val="24"/>
          <w:rtl/>
        </w:rPr>
        <w:t>ה</w:t>
      </w:r>
      <w:r>
        <w:rPr>
          <w:sz w:val="30"/>
          <w:szCs w:val="24"/>
          <w:rtl/>
        </w:rPr>
        <w:t>"</w:t>
      </w:r>
      <w:r>
        <w:rPr>
          <w:rFonts w:hint="cs"/>
          <w:sz w:val="30"/>
          <w:szCs w:val="24"/>
          <w:rtl/>
        </w:rPr>
        <w:t>קצות</w:t>
      </w:r>
      <w:r>
        <w:rPr>
          <w:sz w:val="30"/>
          <w:szCs w:val="24"/>
          <w:rtl/>
        </w:rPr>
        <w:t>"</w:t>
      </w:r>
      <w:r w:rsidRPr="007D3BF9">
        <w:rPr>
          <w:rFonts w:hint="cs"/>
          <w:sz w:val="30"/>
          <w:szCs w:val="24"/>
          <w:rtl/>
        </w:rPr>
        <w:t xml:space="preserve">. </w:t>
      </w:r>
      <w:r>
        <w:rPr>
          <w:rFonts w:hint="cs"/>
          <w:sz w:val="30"/>
          <w:szCs w:val="24"/>
          <w:rtl/>
        </w:rPr>
        <w:t xml:space="preserve">הקריטריונים להדגשת הסימנים שבהם אעסוק באופן אינטנסיבי ייקבעו בהתאם להקשרים השונים שאותם אני מעוניין לבחון בספר, שאותם אציג להלן. </w:t>
      </w:r>
    </w:p>
    <w:p w:rsidR="00650764" w:rsidRPr="007D3BF9" w:rsidRDefault="00650764" w:rsidP="00650764">
      <w:pPr>
        <w:rPr>
          <w:rFonts w:hint="cs"/>
          <w:sz w:val="30"/>
          <w:szCs w:val="24"/>
          <w:rtl/>
        </w:rPr>
      </w:pPr>
    </w:p>
    <w:p w:rsidR="00650764" w:rsidRPr="007D3BF9" w:rsidRDefault="00650764" w:rsidP="00650764">
      <w:pPr>
        <w:rPr>
          <w:rFonts w:hint="cs"/>
          <w:sz w:val="30"/>
          <w:szCs w:val="24"/>
          <w:rtl/>
        </w:rPr>
      </w:pPr>
      <w:r w:rsidRPr="007D3BF9">
        <w:rPr>
          <w:rFonts w:hint="cs"/>
          <w:sz w:val="30"/>
          <w:szCs w:val="24"/>
          <w:rtl/>
        </w:rPr>
        <w:t>כמובן, הניתוח אינו יכול להישאר בתחומיו של הספר עצמו. מבט מעמיק יותר דורש פרספקטיבה רחבה שתציב את ה</w:t>
      </w:r>
      <w:r>
        <w:rPr>
          <w:sz w:val="30"/>
          <w:szCs w:val="24"/>
          <w:rtl/>
        </w:rPr>
        <w:t>"</w:t>
      </w:r>
      <w:r w:rsidRPr="007D3BF9">
        <w:rPr>
          <w:rFonts w:hint="cs"/>
          <w:sz w:val="30"/>
          <w:szCs w:val="24"/>
          <w:rtl/>
        </w:rPr>
        <w:t>קצות</w:t>
      </w:r>
      <w:r>
        <w:rPr>
          <w:sz w:val="30"/>
          <w:szCs w:val="24"/>
          <w:rtl/>
        </w:rPr>
        <w:t>"</w:t>
      </w:r>
      <w:r w:rsidRPr="007D3BF9">
        <w:rPr>
          <w:rFonts w:hint="cs"/>
          <w:sz w:val="30"/>
          <w:szCs w:val="24"/>
          <w:rtl/>
        </w:rPr>
        <w:t xml:space="preserve"> בתוך הקשרים שיאירו ויחדדו את תרומתו הייחודית. צורות חשיבה או תודעות עומק הן מטבען קשות ביותר להגדרה. כיוון שכך, הקשרים נוספים נדרשים בעיניי גם על מנת לפתח את השפה ואת ההמשגה שתאפשר להגדיר באופן מדוייק יותר את מאפייני הלמדנות ב</w:t>
      </w:r>
      <w:r>
        <w:rPr>
          <w:sz w:val="30"/>
          <w:szCs w:val="24"/>
          <w:rtl/>
        </w:rPr>
        <w:t>"</w:t>
      </w:r>
      <w:r w:rsidRPr="007D3BF9">
        <w:rPr>
          <w:rFonts w:hint="cs"/>
          <w:sz w:val="30"/>
          <w:szCs w:val="24"/>
          <w:rtl/>
        </w:rPr>
        <w:t>קצות החושן</w:t>
      </w:r>
      <w:r>
        <w:rPr>
          <w:sz w:val="30"/>
          <w:szCs w:val="24"/>
          <w:rtl/>
        </w:rPr>
        <w:t>"</w:t>
      </w:r>
      <w:r w:rsidRPr="007D3BF9">
        <w:rPr>
          <w:rFonts w:hint="cs"/>
          <w:sz w:val="30"/>
          <w:szCs w:val="24"/>
          <w:rtl/>
        </w:rPr>
        <w:t xml:space="preserve">. </w:t>
      </w:r>
    </w:p>
    <w:p w:rsidR="00650764" w:rsidRPr="007D3BF9" w:rsidRDefault="00650764" w:rsidP="00650764">
      <w:pPr>
        <w:rPr>
          <w:rFonts w:hint="cs"/>
          <w:sz w:val="30"/>
          <w:szCs w:val="24"/>
          <w:rtl/>
        </w:rPr>
      </w:pPr>
    </w:p>
    <w:p w:rsidR="00650764" w:rsidRPr="007D3BF9" w:rsidRDefault="00650764" w:rsidP="00650764">
      <w:pPr>
        <w:rPr>
          <w:rFonts w:hint="cs"/>
          <w:sz w:val="30"/>
          <w:szCs w:val="24"/>
          <w:rtl/>
        </w:rPr>
      </w:pPr>
      <w:r w:rsidRPr="007D3BF9">
        <w:rPr>
          <w:rFonts w:hint="cs"/>
          <w:sz w:val="30"/>
          <w:szCs w:val="24"/>
          <w:rtl/>
        </w:rPr>
        <w:t xml:space="preserve">את ההקשרים הללו אני מעוניין להציג בשני מעגלים: </w:t>
      </w:r>
    </w:p>
    <w:p w:rsidR="00650764" w:rsidRPr="007D3BF9" w:rsidRDefault="00650764" w:rsidP="00650764">
      <w:pPr>
        <w:rPr>
          <w:rFonts w:hint="cs"/>
          <w:b/>
          <w:bCs/>
          <w:sz w:val="30"/>
          <w:szCs w:val="24"/>
          <w:rtl/>
        </w:rPr>
      </w:pPr>
    </w:p>
    <w:p w:rsidR="00650764" w:rsidRPr="007D3BF9" w:rsidRDefault="00650764" w:rsidP="00650764">
      <w:pPr>
        <w:rPr>
          <w:rFonts w:hint="cs"/>
          <w:sz w:val="30"/>
          <w:szCs w:val="24"/>
          <w:rtl/>
        </w:rPr>
      </w:pPr>
      <w:r w:rsidRPr="007D3BF9">
        <w:rPr>
          <w:rFonts w:hint="cs"/>
          <w:b/>
          <w:bCs/>
          <w:sz w:val="30"/>
          <w:szCs w:val="24"/>
          <w:rtl/>
        </w:rPr>
        <w:t>מעגל ראשון</w:t>
      </w:r>
      <w:r w:rsidRPr="007D3BF9">
        <w:rPr>
          <w:rFonts w:hint="cs"/>
          <w:sz w:val="30"/>
          <w:szCs w:val="24"/>
          <w:rtl/>
        </w:rPr>
        <w:t xml:space="preserve"> הוא המעגל הפנים בית-מדרשי, שבו אנסה לבחון את הספר ואת מקומו בתוך ההקשר של ארון הספרים הפרשני והלמדני המרכיב את עולם ההלכה בדורות האחרונים. הצבת ספר </w:t>
      </w:r>
      <w:r>
        <w:rPr>
          <w:sz w:val="30"/>
          <w:szCs w:val="24"/>
          <w:rtl/>
        </w:rPr>
        <w:t>"</w:t>
      </w:r>
      <w:r w:rsidRPr="007D3BF9">
        <w:rPr>
          <w:rFonts w:hint="cs"/>
          <w:sz w:val="30"/>
          <w:szCs w:val="24"/>
          <w:rtl/>
        </w:rPr>
        <w:t>קצות החושן</w:t>
      </w:r>
      <w:r>
        <w:rPr>
          <w:sz w:val="30"/>
          <w:szCs w:val="24"/>
          <w:rtl/>
        </w:rPr>
        <w:t>"</w:t>
      </w:r>
      <w:r w:rsidRPr="007D3BF9">
        <w:rPr>
          <w:rFonts w:hint="cs"/>
          <w:sz w:val="30"/>
          <w:szCs w:val="24"/>
          <w:rtl/>
        </w:rPr>
        <w:t xml:space="preserve"> בהקשרו כספר למדני וכאחד מנושאי הכלים של השולחן ערוך מעלה שורה ארוכה של שאלות (שחלקן הועלו במהלך הסקירה לעיל) </w:t>
      </w:r>
      <w:r w:rsidRPr="007D3BF9">
        <w:rPr>
          <w:sz w:val="30"/>
          <w:szCs w:val="24"/>
          <w:rtl/>
        </w:rPr>
        <w:t>–</w:t>
      </w:r>
      <w:r w:rsidRPr="007D3BF9">
        <w:rPr>
          <w:rFonts w:hint="cs"/>
          <w:sz w:val="30"/>
          <w:szCs w:val="24"/>
          <w:rtl/>
        </w:rPr>
        <w:t xml:space="preserve"> מה יחסו של הספר לשולחן ערוך? מדוע בחר ה</w:t>
      </w:r>
      <w:r>
        <w:rPr>
          <w:sz w:val="30"/>
          <w:szCs w:val="24"/>
          <w:rtl/>
        </w:rPr>
        <w:t>"</w:t>
      </w:r>
      <w:r w:rsidRPr="007D3BF9">
        <w:rPr>
          <w:rFonts w:hint="cs"/>
          <w:sz w:val="30"/>
          <w:szCs w:val="24"/>
          <w:rtl/>
        </w:rPr>
        <w:t>קצות</w:t>
      </w:r>
      <w:r>
        <w:rPr>
          <w:sz w:val="30"/>
          <w:szCs w:val="24"/>
          <w:rtl/>
        </w:rPr>
        <w:t>"</w:t>
      </w:r>
      <w:r w:rsidRPr="007D3BF9">
        <w:rPr>
          <w:rFonts w:hint="cs"/>
          <w:sz w:val="30"/>
          <w:szCs w:val="24"/>
          <w:rtl/>
        </w:rPr>
        <w:t xml:space="preserve"> לערוך את ספרו </w:t>
      </w:r>
      <w:r w:rsidRPr="007D3BF9">
        <w:rPr>
          <w:rFonts w:hint="cs"/>
          <w:sz w:val="30"/>
          <w:szCs w:val="24"/>
          <w:rtl/>
        </w:rPr>
        <w:lastRenderedPageBreak/>
        <w:t>כחלק מספרות נושאי הכלים? מה יחסו לפלפול הפולני? ומה מקומו בראשית הלמדנות? איזה סוג מקורות פתוח בפניו? מה היחס בינו לבין בני דורו ומה היתה השפעתו הממשית על צורות החשיבה בבית המדרש לאחריו?</w:t>
      </w:r>
    </w:p>
    <w:p w:rsidR="00650764" w:rsidRPr="007D3BF9" w:rsidRDefault="00650764" w:rsidP="00650764">
      <w:pPr>
        <w:rPr>
          <w:rFonts w:hint="cs"/>
          <w:sz w:val="30"/>
          <w:szCs w:val="24"/>
          <w:rtl/>
        </w:rPr>
      </w:pPr>
      <w:r w:rsidRPr="007D3BF9">
        <w:rPr>
          <w:rFonts w:hint="cs"/>
          <w:sz w:val="30"/>
          <w:szCs w:val="24"/>
          <w:rtl/>
        </w:rPr>
        <w:t xml:space="preserve">שאלות אלו ועוד ייבחנו באמצעות ניתוח דבריו בספר עצמו, תוך השוואה כפולה: 1. דיאכרונית </w:t>
      </w:r>
      <w:r w:rsidRPr="007D3BF9">
        <w:rPr>
          <w:rFonts w:hint="eastAsia"/>
          <w:sz w:val="30"/>
          <w:szCs w:val="24"/>
          <w:rtl/>
        </w:rPr>
        <w:t>–</w:t>
      </w:r>
      <w:r w:rsidRPr="007D3BF9">
        <w:rPr>
          <w:rFonts w:hint="cs"/>
          <w:sz w:val="30"/>
          <w:szCs w:val="24"/>
          <w:rtl/>
        </w:rPr>
        <w:t xml:space="preserve"> השוואת דברי ה</w:t>
      </w:r>
      <w:r>
        <w:rPr>
          <w:sz w:val="30"/>
          <w:szCs w:val="24"/>
          <w:rtl/>
        </w:rPr>
        <w:t>"</w:t>
      </w:r>
      <w:r w:rsidRPr="007D3BF9">
        <w:rPr>
          <w:rFonts w:hint="cs"/>
          <w:sz w:val="30"/>
          <w:szCs w:val="24"/>
          <w:rtl/>
        </w:rPr>
        <w:t>קצות</w:t>
      </w:r>
      <w:r>
        <w:rPr>
          <w:sz w:val="30"/>
          <w:szCs w:val="24"/>
          <w:rtl/>
        </w:rPr>
        <w:t>"</w:t>
      </w:r>
      <w:r w:rsidRPr="007D3BF9">
        <w:rPr>
          <w:rFonts w:hint="cs"/>
          <w:sz w:val="30"/>
          <w:szCs w:val="24"/>
          <w:rtl/>
        </w:rPr>
        <w:t xml:space="preserve"> לקודמיו (ראשונים פרשני הסוגיות התלמודיות, נושאי הכלים של השולחן ערוך וכד</w:t>
      </w:r>
      <w:r>
        <w:rPr>
          <w:sz w:val="30"/>
          <w:szCs w:val="24"/>
          <w:rtl/>
        </w:rPr>
        <w:t>"</w:t>
      </w:r>
      <w:r w:rsidRPr="007D3BF9">
        <w:rPr>
          <w:rFonts w:hint="cs"/>
          <w:sz w:val="30"/>
          <w:szCs w:val="24"/>
          <w:rtl/>
        </w:rPr>
        <w:t xml:space="preserve"> </w:t>
      </w:r>
      <w:r w:rsidRPr="007D3BF9">
        <w:rPr>
          <w:sz w:val="30"/>
          <w:szCs w:val="24"/>
          <w:rtl/>
        </w:rPr>
        <w:t>–</w:t>
      </w:r>
      <w:r w:rsidRPr="007D3BF9">
        <w:rPr>
          <w:rFonts w:hint="cs"/>
          <w:sz w:val="30"/>
          <w:szCs w:val="24"/>
          <w:rtl/>
        </w:rPr>
        <w:t xml:space="preserve"> עד לספר </w:t>
      </w:r>
      <w:r>
        <w:rPr>
          <w:sz w:val="30"/>
          <w:szCs w:val="24"/>
          <w:rtl/>
        </w:rPr>
        <w:t>"</w:t>
      </w:r>
      <w:r w:rsidRPr="007D3BF9">
        <w:rPr>
          <w:rFonts w:hint="cs"/>
          <w:sz w:val="30"/>
          <w:szCs w:val="24"/>
          <w:rtl/>
        </w:rPr>
        <w:t>אורים ותומים</w:t>
      </w:r>
      <w:r>
        <w:rPr>
          <w:sz w:val="30"/>
          <w:szCs w:val="24"/>
          <w:rtl/>
        </w:rPr>
        <w:t>"</w:t>
      </w:r>
      <w:r w:rsidRPr="007D3BF9">
        <w:rPr>
          <w:rFonts w:hint="cs"/>
          <w:sz w:val="30"/>
          <w:szCs w:val="24"/>
          <w:rtl/>
        </w:rPr>
        <w:t>) ולמאוחרים לו (הלמדנות הבריסקאית</w:t>
      </w:r>
      <w:r w:rsidRPr="007D3BF9">
        <w:rPr>
          <w:rStyle w:val="a5"/>
          <w:sz w:val="30"/>
          <w:szCs w:val="24"/>
          <w:rtl/>
        </w:rPr>
        <w:footnoteReference w:id="2"/>
      </w:r>
      <w:r w:rsidRPr="007D3BF9">
        <w:rPr>
          <w:rFonts w:hint="cs"/>
          <w:sz w:val="30"/>
          <w:szCs w:val="24"/>
          <w:rtl/>
        </w:rPr>
        <w:t xml:space="preserve"> והטלזאית). </w:t>
      </w:r>
      <w:r>
        <w:rPr>
          <w:rFonts w:hint="cs"/>
          <w:sz w:val="30"/>
          <w:szCs w:val="24"/>
          <w:rtl/>
        </w:rPr>
        <w:t xml:space="preserve">יש מקום גם להשוואה מסוג זה בין חיבוריו השונים של רא"ל, שתאפשר לעמוד על התפתחות כתיבתו וסגנונו. </w:t>
      </w:r>
      <w:r w:rsidRPr="007D3BF9">
        <w:rPr>
          <w:rFonts w:hint="cs"/>
          <w:sz w:val="30"/>
          <w:szCs w:val="24"/>
          <w:rtl/>
        </w:rPr>
        <w:t xml:space="preserve">2. סינכרונית </w:t>
      </w:r>
      <w:r w:rsidRPr="007D3BF9">
        <w:rPr>
          <w:sz w:val="30"/>
          <w:szCs w:val="24"/>
          <w:rtl/>
        </w:rPr>
        <w:t>–</w:t>
      </w:r>
      <w:r w:rsidRPr="007D3BF9">
        <w:rPr>
          <w:rFonts w:hint="cs"/>
          <w:sz w:val="30"/>
          <w:szCs w:val="24"/>
          <w:rtl/>
        </w:rPr>
        <w:t xml:space="preserve"> השוואת דברי ה</w:t>
      </w:r>
      <w:r>
        <w:rPr>
          <w:sz w:val="30"/>
          <w:szCs w:val="24"/>
          <w:rtl/>
        </w:rPr>
        <w:t>"</w:t>
      </w:r>
      <w:r w:rsidRPr="007D3BF9">
        <w:rPr>
          <w:rFonts w:hint="cs"/>
          <w:sz w:val="30"/>
          <w:szCs w:val="24"/>
          <w:rtl/>
        </w:rPr>
        <w:t>קצות</w:t>
      </w:r>
      <w:r>
        <w:rPr>
          <w:sz w:val="30"/>
          <w:szCs w:val="24"/>
          <w:rtl/>
        </w:rPr>
        <w:t>"</w:t>
      </w:r>
      <w:r w:rsidRPr="007D3BF9">
        <w:rPr>
          <w:rFonts w:hint="cs"/>
          <w:sz w:val="30"/>
          <w:szCs w:val="24"/>
          <w:rtl/>
        </w:rPr>
        <w:t xml:space="preserve"> לדבריהם של בני זמנו </w:t>
      </w:r>
      <w:r w:rsidRPr="007D3BF9">
        <w:rPr>
          <w:sz w:val="30"/>
          <w:szCs w:val="24"/>
          <w:rtl/>
        </w:rPr>
        <w:t>–</w:t>
      </w:r>
      <w:r w:rsidRPr="007D3BF9">
        <w:rPr>
          <w:rFonts w:hint="cs"/>
          <w:sz w:val="30"/>
          <w:szCs w:val="24"/>
          <w:rtl/>
        </w:rPr>
        <w:t xml:space="preserve"> </w:t>
      </w:r>
      <w:r>
        <w:rPr>
          <w:rFonts w:hint="cs"/>
          <w:sz w:val="30"/>
          <w:szCs w:val="24"/>
          <w:rtl/>
        </w:rPr>
        <w:t xml:space="preserve"> בעל ה</w:t>
      </w:r>
      <w:r>
        <w:rPr>
          <w:sz w:val="30"/>
          <w:szCs w:val="24"/>
          <w:rtl/>
        </w:rPr>
        <w:t>"</w:t>
      </w:r>
      <w:r>
        <w:rPr>
          <w:rFonts w:hint="cs"/>
          <w:sz w:val="30"/>
          <w:szCs w:val="24"/>
          <w:rtl/>
        </w:rPr>
        <w:t>נתיבות</w:t>
      </w:r>
      <w:r>
        <w:rPr>
          <w:sz w:val="30"/>
          <w:szCs w:val="24"/>
          <w:rtl/>
        </w:rPr>
        <w:t>"</w:t>
      </w:r>
      <w:r w:rsidRPr="007D3BF9">
        <w:rPr>
          <w:rFonts w:hint="cs"/>
          <w:sz w:val="30"/>
          <w:szCs w:val="24"/>
          <w:rtl/>
        </w:rPr>
        <w:t xml:space="preserve">, </w:t>
      </w:r>
      <w:r>
        <w:rPr>
          <w:rFonts w:hint="cs"/>
          <w:sz w:val="30"/>
          <w:szCs w:val="24"/>
          <w:rtl/>
        </w:rPr>
        <w:t>ר</w:t>
      </w:r>
      <w:r>
        <w:rPr>
          <w:sz w:val="30"/>
          <w:szCs w:val="24"/>
          <w:rtl/>
        </w:rPr>
        <w:t>'</w:t>
      </w:r>
      <w:r>
        <w:rPr>
          <w:rFonts w:hint="cs"/>
          <w:sz w:val="30"/>
          <w:szCs w:val="24"/>
          <w:rtl/>
        </w:rPr>
        <w:t xml:space="preserve"> </w:t>
      </w:r>
      <w:r w:rsidRPr="007D3BF9">
        <w:rPr>
          <w:rFonts w:hint="cs"/>
          <w:sz w:val="30"/>
          <w:szCs w:val="24"/>
          <w:rtl/>
        </w:rPr>
        <w:t>עקיבא איגר, הג</w:t>
      </w:r>
      <w:r>
        <w:rPr>
          <w:rFonts w:hint="cs"/>
          <w:sz w:val="30"/>
          <w:szCs w:val="24"/>
          <w:rtl/>
        </w:rPr>
        <w:t>ר</w:t>
      </w:r>
      <w:r>
        <w:rPr>
          <w:sz w:val="30"/>
          <w:szCs w:val="24"/>
          <w:rtl/>
        </w:rPr>
        <w:t>"</w:t>
      </w:r>
      <w:r w:rsidRPr="007D3BF9">
        <w:rPr>
          <w:rFonts w:hint="cs"/>
          <w:sz w:val="30"/>
          <w:szCs w:val="24"/>
          <w:rtl/>
        </w:rPr>
        <w:t>א וכד</w:t>
      </w:r>
      <w:r>
        <w:rPr>
          <w:sz w:val="30"/>
          <w:szCs w:val="24"/>
          <w:rtl/>
        </w:rPr>
        <w:t>"</w:t>
      </w:r>
      <w:r w:rsidRPr="007D3BF9">
        <w:rPr>
          <w:rFonts w:hint="cs"/>
          <w:sz w:val="30"/>
          <w:szCs w:val="24"/>
          <w:rtl/>
        </w:rPr>
        <w:t>. כמובן, הויכוח עם בעל ה</w:t>
      </w:r>
      <w:r>
        <w:rPr>
          <w:sz w:val="30"/>
          <w:szCs w:val="24"/>
          <w:rtl/>
        </w:rPr>
        <w:t>"</w:t>
      </w:r>
      <w:r w:rsidRPr="007D3BF9">
        <w:rPr>
          <w:rFonts w:hint="cs"/>
          <w:sz w:val="30"/>
          <w:szCs w:val="24"/>
          <w:rtl/>
        </w:rPr>
        <w:t>נתיבות</w:t>
      </w:r>
      <w:r>
        <w:rPr>
          <w:sz w:val="30"/>
          <w:szCs w:val="24"/>
          <w:rtl/>
        </w:rPr>
        <w:t>"</w:t>
      </w:r>
      <w:r w:rsidRPr="007D3BF9">
        <w:rPr>
          <w:rFonts w:hint="cs"/>
          <w:sz w:val="30"/>
          <w:szCs w:val="24"/>
          <w:rtl/>
        </w:rPr>
        <w:t>, כמו גם תגובותיו של ה</w:t>
      </w:r>
      <w:r>
        <w:rPr>
          <w:sz w:val="30"/>
          <w:szCs w:val="24"/>
          <w:rtl/>
        </w:rPr>
        <w:t>"</w:t>
      </w:r>
      <w:r w:rsidRPr="007D3BF9">
        <w:rPr>
          <w:rFonts w:hint="cs"/>
          <w:sz w:val="30"/>
          <w:szCs w:val="24"/>
          <w:rtl/>
        </w:rPr>
        <w:t>קצות</w:t>
      </w:r>
      <w:r>
        <w:rPr>
          <w:sz w:val="30"/>
          <w:szCs w:val="24"/>
          <w:rtl/>
        </w:rPr>
        <w:t>"</w:t>
      </w:r>
      <w:r w:rsidRPr="007D3BF9">
        <w:rPr>
          <w:rFonts w:hint="cs"/>
          <w:sz w:val="30"/>
          <w:szCs w:val="24"/>
          <w:rtl/>
        </w:rPr>
        <w:t xml:space="preserve"> בספר </w:t>
      </w:r>
      <w:r>
        <w:rPr>
          <w:sz w:val="30"/>
          <w:szCs w:val="24"/>
          <w:rtl/>
        </w:rPr>
        <w:t>"</w:t>
      </w:r>
      <w:r w:rsidRPr="007D3BF9">
        <w:rPr>
          <w:rFonts w:hint="cs"/>
          <w:sz w:val="30"/>
          <w:szCs w:val="24"/>
          <w:rtl/>
        </w:rPr>
        <w:t>משובב נתיבות</w:t>
      </w:r>
      <w:r>
        <w:rPr>
          <w:sz w:val="30"/>
          <w:szCs w:val="24"/>
          <w:rtl/>
        </w:rPr>
        <w:t>"</w:t>
      </w:r>
      <w:r w:rsidRPr="007D3BF9">
        <w:rPr>
          <w:rFonts w:hint="cs"/>
          <w:sz w:val="30"/>
          <w:szCs w:val="24"/>
          <w:rtl/>
        </w:rPr>
        <w:t xml:space="preserve"> יכולים להוות כלי רב ערך לניתוח צורת החשיבה שלו והאופן שבו הוא תופס את עצמו ואת לימודו. </w:t>
      </w:r>
    </w:p>
    <w:p w:rsidR="00650764" w:rsidRPr="007D3BF9" w:rsidRDefault="00650764" w:rsidP="00650764">
      <w:pPr>
        <w:rPr>
          <w:rFonts w:hint="cs"/>
          <w:b/>
          <w:bCs/>
          <w:sz w:val="30"/>
          <w:szCs w:val="24"/>
          <w:rtl/>
        </w:rPr>
      </w:pPr>
    </w:p>
    <w:p w:rsidR="00650764" w:rsidRPr="007D3BF9" w:rsidRDefault="00650764" w:rsidP="00650764">
      <w:pPr>
        <w:rPr>
          <w:rFonts w:hint="cs"/>
          <w:sz w:val="30"/>
          <w:szCs w:val="24"/>
          <w:rtl/>
        </w:rPr>
      </w:pPr>
      <w:r w:rsidRPr="007D3BF9">
        <w:rPr>
          <w:rFonts w:hint="cs"/>
          <w:b/>
          <w:bCs/>
          <w:sz w:val="30"/>
          <w:szCs w:val="24"/>
          <w:rtl/>
        </w:rPr>
        <w:t xml:space="preserve">המעגל השני </w:t>
      </w:r>
      <w:r w:rsidRPr="007D3BF9">
        <w:rPr>
          <w:rFonts w:hint="cs"/>
          <w:sz w:val="30"/>
          <w:szCs w:val="24"/>
          <w:rtl/>
        </w:rPr>
        <w:t>הוא מעגל ההקשרים הרחב שסביב הספר ומחברו, והוא שזור ממספר מרכיבים:</w:t>
      </w:r>
    </w:p>
    <w:p w:rsidR="00650764" w:rsidRPr="007D3BF9" w:rsidRDefault="00650764" w:rsidP="00650764">
      <w:pPr>
        <w:rPr>
          <w:rFonts w:hint="cs"/>
          <w:sz w:val="30"/>
          <w:szCs w:val="24"/>
          <w:rtl/>
        </w:rPr>
      </w:pPr>
      <w:r w:rsidRPr="007D3BF9">
        <w:rPr>
          <w:rFonts w:hint="cs"/>
          <w:sz w:val="30"/>
          <w:szCs w:val="24"/>
          <w:rtl/>
        </w:rPr>
        <w:t xml:space="preserve">1. </w:t>
      </w:r>
      <w:r w:rsidRPr="007D3BF9">
        <w:rPr>
          <w:rFonts w:hint="cs"/>
          <w:i/>
          <w:iCs/>
          <w:sz w:val="30"/>
          <w:szCs w:val="24"/>
          <w:rtl/>
        </w:rPr>
        <w:t>היסטוריה</w:t>
      </w:r>
      <w:r w:rsidRPr="007D3BF9">
        <w:rPr>
          <w:rFonts w:hint="cs"/>
          <w:sz w:val="30"/>
          <w:szCs w:val="24"/>
          <w:rtl/>
        </w:rPr>
        <w:t xml:space="preserve"> </w:t>
      </w:r>
      <w:r w:rsidRPr="007D3BF9">
        <w:rPr>
          <w:sz w:val="30"/>
          <w:szCs w:val="24"/>
          <w:rtl/>
        </w:rPr>
        <w:t>–</w:t>
      </w:r>
      <w:r w:rsidRPr="007D3BF9">
        <w:rPr>
          <w:rFonts w:hint="cs"/>
          <w:sz w:val="30"/>
          <w:szCs w:val="24"/>
          <w:rtl/>
        </w:rPr>
        <w:t xml:space="preserve"> </w:t>
      </w:r>
    </w:p>
    <w:p w:rsidR="00650764" w:rsidRPr="007D3BF9" w:rsidRDefault="00650764" w:rsidP="00650764">
      <w:pPr>
        <w:rPr>
          <w:rFonts w:hint="cs"/>
          <w:sz w:val="30"/>
          <w:szCs w:val="24"/>
          <w:rtl/>
        </w:rPr>
      </w:pPr>
      <w:r w:rsidRPr="007D3BF9">
        <w:rPr>
          <w:rFonts w:hint="cs"/>
          <w:sz w:val="30"/>
          <w:szCs w:val="24"/>
          <w:rtl/>
        </w:rPr>
        <w:t>כמובן, להקשר ההיסטורי של הספר משמעות רבה.</w:t>
      </w:r>
      <w:r w:rsidRPr="007D3BF9">
        <w:rPr>
          <w:rStyle w:val="a5"/>
          <w:sz w:val="30"/>
          <w:szCs w:val="24"/>
          <w:rtl/>
        </w:rPr>
        <w:footnoteReference w:id="3"/>
      </w:r>
      <w:r w:rsidRPr="007D3BF9">
        <w:rPr>
          <w:rFonts w:hint="cs"/>
          <w:sz w:val="30"/>
          <w:szCs w:val="24"/>
          <w:rtl/>
        </w:rPr>
        <w:t xml:space="preserve"> </w:t>
      </w:r>
    </w:p>
    <w:p w:rsidR="00650764" w:rsidRPr="007D3BF9" w:rsidRDefault="00650764" w:rsidP="00650764">
      <w:pPr>
        <w:rPr>
          <w:rFonts w:hint="cs"/>
          <w:sz w:val="30"/>
          <w:szCs w:val="24"/>
          <w:rtl/>
        </w:rPr>
      </w:pPr>
      <w:r w:rsidRPr="007D3BF9">
        <w:rPr>
          <w:rFonts w:hint="cs"/>
          <w:sz w:val="30"/>
          <w:szCs w:val="24"/>
          <w:rtl/>
        </w:rPr>
        <w:t>להיבט ההיסטורי בעבודה זו מספר מרכיבים:</w:t>
      </w:r>
    </w:p>
    <w:p w:rsidR="00650764" w:rsidRPr="007D3BF9" w:rsidRDefault="00650764" w:rsidP="00650764">
      <w:pPr>
        <w:rPr>
          <w:rFonts w:hint="cs"/>
          <w:sz w:val="30"/>
          <w:szCs w:val="24"/>
          <w:rtl/>
        </w:rPr>
      </w:pPr>
      <w:r w:rsidRPr="007D3BF9">
        <w:rPr>
          <w:rFonts w:hint="cs"/>
          <w:sz w:val="30"/>
          <w:szCs w:val="24"/>
          <w:rtl/>
        </w:rPr>
        <w:t xml:space="preserve">א. הביוגרפיה האישית של רא"ל הלר </w:t>
      </w:r>
      <w:r w:rsidRPr="007D3BF9">
        <w:rPr>
          <w:sz w:val="30"/>
          <w:szCs w:val="24"/>
          <w:rtl/>
        </w:rPr>
        <w:t>–</w:t>
      </w:r>
      <w:r w:rsidRPr="007D3BF9">
        <w:rPr>
          <w:rFonts w:hint="cs"/>
          <w:sz w:val="30"/>
          <w:szCs w:val="24"/>
          <w:rtl/>
        </w:rPr>
        <w:t xml:space="preserve"> כפי שהערתי לעיל, המקורות הביוגרפיים המהימנים שיש בידינו ביחס לרא"ל הלר הם מוגבלים ביותר. יש צורך בחידוד הידוע לנו על הדמות </w:t>
      </w:r>
      <w:r w:rsidRPr="007D3BF9">
        <w:rPr>
          <w:sz w:val="30"/>
          <w:szCs w:val="24"/>
          <w:rtl/>
        </w:rPr>
        <w:t>–</w:t>
      </w:r>
      <w:r w:rsidRPr="007D3BF9">
        <w:rPr>
          <w:rFonts w:hint="cs"/>
          <w:sz w:val="30"/>
          <w:szCs w:val="24"/>
          <w:rtl/>
        </w:rPr>
        <w:t xml:space="preserve"> הן ממה שניתן לזקק כמידע מהימן מתוך החומר הקיים, והן על בסיס חיפוש בארכיונים.</w:t>
      </w:r>
      <w:r w:rsidRPr="007D3BF9">
        <w:rPr>
          <w:rStyle w:val="a5"/>
          <w:sz w:val="30"/>
          <w:szCs w:val="24"/>
          <w:rtl/>
        </w:rPr>
        <w:footnoteReference w:id="4"/>
      </w:r>
      <w:r w:rsidRPr="007D3BF9">
        <w:rPr>
          <w:rFonts w:hint="cs"/>
          <w:sz w:val="30"/>
          <w:szCs w:val="24"/>
          <w:rtl/>
        </w:rPr>
        <w:t xml:space="preserve"> את הנתונים הללו יש לצרף לסקירה היסטורית של החומר הספרותי הקיים בידינו </w:t>
      </w:r>
      <w:r w:rsidRPr="007D3BF9">
        <w:rPr>
          <w:sz w:val="30"/>
          <w:szCs w:val="24"/>
          <w:rtl/>
        </w:rPr>
        <w:t>–</w:t>
      </w:r>
      <w:r w:rsidRPr="007D3BF9">
        <w:rPr>
          <w:rFonts w:hint="cs"/>
          <w:sz w:val="30"/>
          <w:szCs w:val="24"/>
          <w:rtl/>
        </w:rPr>
        <w:t xml:space="preserve"> ספריו של רא"ל, מן המוקדם אל המאוחר (על פי סדר הפרסום ועל פי סדר הכתיבה), והתשובות השונות ששלח. מיקומם של החיבורים הללו על ציר היסטורי רציף יכול להוות כלי רב ערך לניתוח התפתחותו הלמדנית של ה</w:t>
      </w:r>
      <w:r>
        <w:rPr>
          <w:sz w:val="30"/>
          <w:szCs w:val="24"/>
          <w:rtl/>
        </w:rPr>
        <w:t>"</w:t>
      </w:r>
      <w:r w:rsidRPr="007D3BF9">
        <w:rPr>
          <w:rFonts w:hint="cs"/>
          <w:sz w:val="30"/>
          <w:szCs w:val="24"/>
          <w:rtl/>
        </w:rPr>
        <w:t>קצות</w:t>
      </w:r>
      <w:r>
        <w:rPr>
          <w:sz w:val="30"/>
          <w:szCs w:val="24"/>
          <w:rtl/>
        </w:rPr>
        <w:t>"</w:t>
      </w:r>
      <w:r w:rsidRPr="007D3BF9">
        <w:rPr>
          <w:rFonts w:hint="cs"/>
          <w:sz w:val="30"/>
          <w:szCs w:val="24"/>
          <w:rtl/>
        </w:rPr>
        <w:t xml:space="preserve">. </w:t>
      </w:r>
    </w:p>
    <w:p w:rsidR="00650764" w:rsidRPr="007D3BF9" w:rsidRDefault="00650764" w:rsidP="00650764">
      <w:pPr>
        <w:rPr>
          <w:rFonts w:hint="cs"/>
          <w:sz w:val="30"/>
          <w:szCs w:val="24"/>
          <w:rtl/>
        </w:rPr>
      </w:pPr>
      <w:r w:rsidRPr="007D3BF9">
        <w:rPr>
          <w:rFonts w:hint="cs"/>
          <w:sz w:val="30"/>
          <w:szCs w:val="24"/>
          <w:rtl/>
        </w:rPr>
        <w:t xml:space="preserve">ב. את הביוגרפיה האישית יש להציב על הרקע של המתרחש בקהילתו ובסביבתו, שעברה כאמור שינויים מפליגים באותה התקופה. החלשות מוסדות הקהילה וסמכותה, חדירה של ההשכלה וראשית התפשטותה של החסידות </w:t>
      </w:r>
      <w:r w:rsidRPr="007D3BF9">
        <w:rPr>
          <w:sz w:val="30"/>
          <w:szCs w:val="24"/>
          <w:rtl/>
        </w:rPr>
        <w:t>–</w:t>
      </w:r>
      <w:r w:rsidRPr="007D3BF9">
        <w:rPr>
          <w:rFonts w:hint="cs"/>
          <w:sz w:val="30"/>
          <w:szCs w:val="24"/>
          <w:rtl/>
        </w:rPr>
        <w:t xml:space="preserve"> כל אלו מספקים רקע עשיר ועסיסי לכתיבתו של הספר. אין ספק, שהבנה מעמיקה יותר של הרקע הזה יכולה לסייע מאוד להבהרת כיווני החשיבה ואפיקי הפרשנות שהיו פתוחים בפניו ושבהם בחר. </w:t>
      </w:r>
    </w:p>
    <w:p w:rsidR="00650764" w:rsidRPr="007D3BF9" w:rsidRDefault="00650764" w:rsidP="00650764">
      <w:pPr>
        <w:rPr>
          <w:rFonts w:hint="cs"/>
          <w:sz w:val="30"/>
          <w:szCs w:val="24"/>
          <w:rtl/>
        </w:rPr>
      </w:pPr>
      <w:r w:rsidRPr="007D3BF9">
        <w:rPr>
          <w:rFonts w:hint="cs"/>
          <w:sz w:val="30"/>
          <w:szCs w:val="24"/>
          <w:rtl/>
        </w:rPr>
        <w:t>ג. מעגל היסטורי רחב יותר הוא ההתרחשויות בקיסרות האוסטרית ובמזרח אירופה בכלל בתקופה זו. כפי שציינתי לעיל, הקבלה לשינויים הדרמטיים שעברה מערכת המשפט האוסטרית בסוף המאה הי</w:t>
      </w:r>
      <w:r w:rsidRPr="007D3BF9">
        <w:rPr>
          <w:sz w:val="30"/>
          <w:szCs w:val="24"/>
          <w:rtl/>
        </w:rPr>
        <w:t>"</w:t>
      </w:r>
      <w:r w:rsidRPr="007D3BF9">
        <w:rPr>
          <w:rFonts w:hint="cs"/>
          <w:sz w:val="30"/>
          <w:szCs w:val="24"/>
          <w:rtl/>
        </w:rPr>
        <w:t xml:space="preserve">ח, כמו </w:t>
      </w:r>
      <w:r w:rsidRPr="007D3BF9">
        <w:rPr>
          <w:rFonts w:hint="cs"/>
          <w:sz w:val="30"/>
          <w:szCs w:val="24"/>
          <w:rtl/>
        </w:rPr>
        <w:lastRenderedPageBreak/>
        <w:t xml:space="preserve">גם המודעות לרוחות המהפכה שנשבו ברחבי אירופה כולה, הכרחית להצבת ראשית הלמדנות בהקשרה הנכון. </w:t>
      </w:r>
    </w:p>
    <w:p w:rsidR="00650764" w:rsidRPr="007D3BF9" w:rsidRDefault="00650764" w:rsidP="00650764">
      <w:pPr>
        <w:rPr>
          <w:rFonts w:hint="cs"/>
          <w:sz w:val="30"/>
          <w:szCs w:val="24"/>
          <w:rtl/>
        </w:rPr>
      </w:pPr>
      <w:r w:rsidRPr="007D3BF9">
        <w:rPr>
          <w:rFonts w:hint="cs"/>
          <w:sz w:val="30"/>
          <w:szCs w:val="24"/>
          <w:rtl/>
        </w:rPr>
        <w:t xml:space="preserve">2.  </w:t>
      </w:r>
      <w:r w:rsidRPr="007D3BF9">
        <w:rPr>
          <w:rFonts w:hint="cs"/>
          <w:i/>
          <w:iCs/>
          <w:sz w:val="30"/>
          <w:szCs w:val="24"/>
          <w:rtl/>
        </w:rPr>
        <w:t>היבטים תיאולוגיים</w:t>
      </w:r>
      <w:r w:rsidRPr="007D3BF9">
        <w:rPr>
          <w:rFonts w:hint="cs"/>
          <w:sz w:val="30"/>
          <w:szCs w:val="24"/>
          <w:rtl/>
        </w:rPr>
        <w:t xml:space="preserve"> </w:t>
      </w:r>
      <w:r w:rsidRPr="007D3BF9">
        <w:rPr>
          <w:sz w:val="30"/>
          <w:szCs w:val="24"/>
          <w:rtl/>
        </w:rPr>
        <w:t>–</w:t>
      </w:r>
      <w:r w:rsidRPr="007D3BF9">
        <w:rPr>
          <w:rFonts w:hint="cs"/>
          <w:sz w:val="30"/>
          <w:szCs w:val="24"/>
          <w:rtl/>
        </w:rPr>
        <w:t xml:space="preserve"> </w:t>
      </w:r>
    </w:p>
    <w:p w:rsidR="00650764" w:rsidRPr="007D3BF9" w:rsidRDefault="00650764" w:rsidP="00650764">
      <w:pPr>
        <w:rPr>
          <w:rFonts w:hint="cs"/>
          <w:sz w:val="30"/>
          <w:szCs w:val="24"/>
          <w:rtl/>
        </w:rPr>
      </w:pPr>
      <w:r w:rsidRPr="007D3BF9">
        <w:rPr>
          <w:rFonts w:hint="cs"/>
          <w:sz w:val="30"/>
          <w:szCs w:val="24"/>
          <w:rtl/>
        </w:rPr>
        <w:t xml:space="preserve">לעיל עמדתי על קיומה של </w:t>
      </w:r>
      <w:r>
        <w:rPr>
          <w:sz w:val="30"/>
          <w:szCs w:val="24"/>
          <w:rtl/>
        </w:rPr>
        <w:t>"</w:t>
      </w:r>
      <w:r w:rsidRPr="007D3BF9">
        <w:rPr>
          <w:rFonts w:hint="cs"/>
          <w:sz w:val="30"/>
          <w:szCs w:val="24"/>
          <w:rtl/>
        </w:rPr>
        <w:t>מטא-למדנות</w:t>
      </w:r>
      <w:r>
        <w:rPr>
          <w:sz w:val="30"/>
          <w:szCs w:val="24"/>
          <w:rtl/>
        </w:rPr>
        <w:t>"</w:t>
      </w:r>
      <w:r w:rsidRPr="007D3BF9">
        <w:rPr>
          <w:rFonts w:hint="cs"/>
          <w:sz w:val="30"/>
          <w:szCs w:val="24"/>
          <w:rtl/>
        </w:rPr>
        <w:t xml:space="preserve"> </w:t>
      </w:r>
      <w:r w:rsidRPr="007D3BF9">
        <w:rPr>
          <w:sz w:val="30"/>
          <w:szCs w:val="24"/>
          <w:rtl/>
        </w:rPr>
        <w:t>–</w:t>
      </w:r>
      <w:r w:rsidRPr="007D3BF9">
        <w:rPr>
          <w:rFonts w:hint="cs"/>
          <w:sz w:val="30"/>
          <w:szCs w:val="24"/>
          <w:rtl/>
        </w:rPr>
        <w:t xml:space="preserve"> מכלול תודעות עקרוניות הניצב ברקע הלמדנות או מתגלם בה. הקדמותיו של רא"ל ל</w:t>
      </w:r>
      <w:r>
        <w:rPr>
          <w:sz w:val="30"/>
          <w:szCs w:val="24"/>
          <w:rtl/>
        </w:rPr>
        <w:t>"</w:t>
      </w:r>
      <w:r w:rsidRPr="007D3BF9">
        <w:rPr>
          <w:rFonts w:hint="cs"/>
          <w:sz w:val="30"/>
          <w:szCs w:val="24"/>
          <w:rtl/>
        </w:rPr>
        <w:t>קצות החושן</w:t>
      </w:r>
      <w:r>
        <w:rPr>
          <w:sz w:val="30"/>
          <w:szCs w:val="24"/>
          <w:rtl/>
        </w:rPr>
        <w:t>"</w:t>
      </w:r>
      <w:r w:rsidRPr="007D3BF9">
        <w:rPr>
          <w:rFonts w:hint="cs"/>
          <w:sz w:val="30"/>
          <w:szCs w:val="24"/>
          <w:rtl/>
        </w:rPr>
        <w:t xml:space="preserve"> ול</w:t>
      </w:r>
      <w:r>
        <w:rPr>
          <w:sz w:val="30"/>
          <w:szCs w:val="24"/>
          <w:rtl/>
        </w:rPr>
        <w:t>"</w:t>
      </w:r>
      <w:r w:rsidRPr="007D3BF9">
        <w:rPr>
          <w:rFonts w:hint="cs"/>
          <w:sz w:val="30"/>
          <w:szCs w:val="24"/>
          <w:rtl/>
        </w:rPr>
        <w:t>שב שמעתתא</w:t>
      </w:r>
      <w:r>
        <w:rPr>
          <w:sz w:val="30"/>
          <w:szCs w:val="24"/>
          <w:rtl/>
        </w:rPr>
        <w:t>"</w:t>
      </w:r>
      <w:r w:rsidRPr="007D3BF9">
        <w:rPr>
          <w:rFonts w:hint="cs"/>
          <w:sz w:val="30"/>
          <w:szCs w:val="24"/>
          <w:rtl/>
        </w:rPr>
        <w:t xml:space="preserve"> מספקות לנו הצצה אל עולמו הרוחני והתיאולוגי. כיצד ניכרת השפעה זו בספריו? האם היא באה לידי ביטוי בעמדותיו המשפטיות או בצורות הלמידה שלו?</w:t>
      </w:r>
    </w:p>
    <w:p w:rsidR="00650764" w:rsidRPr="007D3BF9" w:rsidRDefault="00650764" w:rsidP="00650764">
      <w:pPr>
        <w:rPr>
          <w:rFonts w:hint="cs"/>
          <w:sz w:val="30"/>
          <w:szCs w:val="24"/>
          <w:rtl/>
        </w:rPr>
      </w:pPr>
      <w:r w:rsidRPr="007D3BF9">
        <w:rPr>
          <w:rFonts w:hint="cs"/>
          <w:sz w:val="30"/>
          <w:szCs w:val="24"/>
          <w:rtl/>
        </w:rPr>
        <w:t xml:space="preserve">3. </w:t>
      </w:r>
      <w:r w:rsidRPr="007D3BF9">
        <w:rPr>
          <w:rFonts w:hint="cs"/>
          <w:i/>
          <w:iCs/>
          <w:sz w:val="30"/>
          <w:szCs w:val="24"/>
          <w:rtl/>
        </w:rPr>
        <w:t>תורת המשפט</w:t>
      </w:r>
      <w:r w:rsidRPr="007D3BF9">
        <w:rPr>
          <w:rFonts w:hint="cs"/>
          <w:sz w:val="30"/>
          <w:szCs w:val="24"/>
          <w:rtl/>
        </w:rPr>
        <w:t xml:space="preserve"> </w:t>
      </w:r>
      <w:r w:rsidRPr="007D3BF9">
        <w:rPr>
          <w:sz w:val="30"/>
          <w:szCs w:val="24"/>
          <w:rtl/>
        </w:rPr>
        <w:t>–</w:t>
      </w:r>
      <w:r w:rsidRPr="007D3BF9">
        <w:rPr>
          <w:rFonts w:hint="cs"/>
          <w:sz w:val="30"/>
          <w:szCs w:val="24"/>
          <w:rtl/>
        </w:rPr>
        <w:t xml:space="preserve"> </w:t>
      </w:r>
    </w:p>
    <w:p w:rsidR="00650764" w:rsidRPr="007D3BF9" w:rsidRDefault="00650764" w:rsidP="00650764">
      <w:pPr>
        <w:rPr>
          <w:rFonts w:hint="cs"/>
          <w:sz w:val="30"/>
          <w:szCs w:val="24"/>
          <w:rtl/>
        </w:rPr>
      </w:pPr>
      <w:r w:rsidRPr="007D3BF9">
        <w:rPr>
          <w:rFonts w:hint="cs"/>
          <w:sz w:val="30"/>
          <w:szCs w:val="24"/>
          <w:rtl/>
        </w:rPr>
        <w:t xml:space="preserve">הלמדנות, ובייחוד זו הסובבת סביב חלק </w:t>
      </w:r>
      <w:r>
        <w:rPr>
          <w:sz w:val="30"/>
          <w:szCs w:val="24"/>
          <w:rtl/>
        </w:rPr>
        <w:t>"</w:t>
      </w:r>
      <w:r w:rsidRPr="007D3BF9">
        <w:rPr>
          <w:rFonts w:hint="cs"/>
          <w:sz w:val="30"/>
          <w:szCs w:val="24"/>
          <w:rtl/>
        </w:rPr>
        <w:t>חושן משפט</w:t>
      </w:r>
      <w:r>
        <w:rPr>
          <w:sz w:val="30"/>
          <w:szCs w:val="24"/>
          <w:rtl/>
        </w:rPr>
        <w:t>"</w:t>
      </w:r>
      <w:r w:rsidRPr="007D3BF9">
        <w:rPr>
          <w:rFonts w:hint="cs"/>
          <w:sz w:val="30"/>
          <w:szCs w:val="24"/>
          <w:rtl/>
        </w:rPr>
        <w:t xml:space="preserve"> שבשלחן ערוך, היא במהותה עיסוק במשפט. אמנם, יש הבדלים רבים בין הלמדנות, שהיא עשייה משפטית תיאורטית ואידאלית לבין תורת משפט מעשית,</w:t>
      </w:r>
      <w:r w:rsidRPr="007D3BF9">
        <w:rPr>
          <w:rStyle w:val="a5"/>
          <w:sz w:val="30"/>
          <w:szCs w:val="24"/>
          <w:rtl/>
        </w:rPr>
        <w:footnoteReference w:id="5"/>
      </w:r>
      <w:r w:rsidRPr="007D3BF9">
        <w:rPr>
          <w:rFonts w:hint="cs"/>
          <w:sz w:val="30"/>
          <w:szCs w:val="24"/>
          <w:rtl/>
        </w:rPr>
        <w:t xml:space="preserve"> אך אף על פי כן דומני שהקבלה בין שני התחומים מסייעת מאוד להמשגה מודרנית של סברות למדניות. ההשוואה לתורת המשפט מתבקשת קודם כל בהקשרה ההיסטורי, ביחס לתפיסת המשפט בתקופתו של </w:t>
      </w:r>
      <w:r>
        <w:rPr>
          <w:rFonts w:hint="cs"/>
          <w:sz w:val="30"/>
          <w:szCs w:val="24"/>
          <w:rtl/>
        </w:rPr>
        <w:t>ה</w:t>
      </w:r>
      <w:r>
        <w:rPr>
          <w:sz w:val="30"/>
          <w:szCs w:val="24"/>
          <w:rtl/>
        </w:rPr>
        <w:t>"</w:t>
      </w:r>
      <w:r>
        <w:rPr>
          <w:rFonts w:hint="cs"/>
          <w:sz w:val="30"/>
          <w:szCs w:val="24"/>
          <w:rtl/>
        </w:rPr>
        <w:t>קצות</w:t>
      </w:r>
      <w:r>
        <w:rPr>
          <w:sz w:val="30"/>
          <w:szCs w:val="24"/>
          <w:rtl/>
        </w:rPr>
        <w:t>"</w:t>
      </w:r>
      <w:r w:rsidRPr="007D3BF9">
        <w:rPr>
          <w:rFonts w:hint="cs"/>
          <w:sz w:val="30"/>
          <w:szCs w:val="24"/>
          <w:rtl/>
        </w:rPr>
        <w:t>. עם זאת, נראה לי שההשוואה המושגית-עקרונית מאפשרת גם חריגה מן ההקשר ההיסטורי ומזמינה נסיון לאפיין את דברי ה</w:t>
      </w:r>
      <w:r>
        <w:rPr>
          <w:sz w:val="30"/>
          <w:szCs w:val="24"/>
          <w:rtl/>
        </w:rPr>
        <w:t>"</w:t>
      </w:r>
      <w:r w:rsidRPr="007D3BF9">
        <w:rPr>
          <w:rFonts w:hint="cs"/>
          <w:sz w:val="30"/>
          <w:szCs w:val="24"/>
          <w:rtl/>
        </w:rPr>
        <w:t>קצות</w:t>
      </w:r>
      <w:r>
        <w:rPr>
          <w:sz w:val="30"/>
          <w:szCs w:val="24"/>
          <w:rtl/>
        </w:rPr>
        <w:t>"</w:t>
      </w:r>
      <w:r w:rsidRPr="007D3BF9">
        <w:rPr>
          <w:rFonts w:hint="cs"/>
          <w:sz w:val="30"/>
          <w:szCs w:val="24"/>
          <w:rtl/>
        </w:rPr>
        <w:t xml:space="preserve"> גם על רקע מושגים עדכניים בתורת המשפט. </w:t>
      </w:r>
    </w:p>
    <w:p w:rsidR="00650764" w:rsidRPr="007D3BF9" w:rsidRDefault="00650764" w:rsidP="00650764">
      <w:pPr>
        <w:rPr>
          <w:rFonts w:hint="cs"/>
          <w:sz w:val="30"/>
          <w:szCs w:val="24"/>
          <w:rtl/>
        </w:rPr>
      </w:pPr>
      <w:r w:rsidRPr="007D3BF9">
        <w:rPr>
          <w:rFonts w:hint="cs"/>
          <w:sz w:val="30"/>
          <w:szCs w:val="24"/>
          <w:rtl/>
        </w:rPr>
        <w:t xml:space="preserve">4. </w:t>
      </w:r>
      <w:r w:rsidRPr="007D3BF9">
        <w:rPr>
          <w:rFonts w:hint="cs"/>
          <w:i/>
          <w:iCs/>
          <w:sz w:val="30"/>
          <w:szCs w:val="24"/>
          <w:rtl/>
        </w:rPr>
        <w:t>הרמנויטיקה ופילוסופיה של הלשון</w:t>
      </w:r>
      <w:r w:rsidRPr="007D3BF9">
        <w:rPr>
          <w:rFonts w:hint="cs"/>
          <w:sz w:val="30"/>
          <w:szCs w:val="24"/>
          <w:rtl/>
        </w:rPr>
        <w:t xml:space="preserve"> </w:t>
      </w:r>
      <w:r w:rsidRPr="007D3BF9">
        <w:rPr>
          <w:sz w:val="30"/>
          <w:szCs w:val="24"/>
          <w:rtl/>
        </w:rPr>
        <w:t>–</w:t>
      </w:r>
      <w:r w:rsidRPr="007D3BF9">
        <w:rPr>
          <w:rFonts w:hint="cs"/>
          <w:sz w:val="30"/>
          <w:szCs w:val="24"/>
          <w:rtl/>
        </w:rPr>
        <w:t xml:space="preserve"> </w:t>
      </w:r>
    </w:p>
    <w:p w:rsidR="00650764" w:rsidRPr="007D3BF9" w:rsidRDefault="00650764" w:rsidP="00650764">
      <w:pPr>
        <w:rPr>
          <w:rFonts w:hint="cs"/>
          <w:sz w:val="30"/>
          <w:szCs w:val="24"/>
          <w:rtl/>
        </w:rPr>
      </w:pPr>
      <w:r w:rsidRPr="007D3BF9">
        <w:rPr>
          <w:rFonts w:hint="cs"/>
          <w:sz w:val="30"/>
          <w:szCs w:val="24"/>
          <w:rtl/>
        </w:rPr>
        <w:t xml:space="preserve">דומני שתחומי דעת נוספים שייתכן שיהיו פוריים בהקשר של ניתוח הלמדנות הם ההרמנויטיקה </w:t>
      </w:r>
      <w:r w:rsidRPr="007D3BF9">
        <w:rPr>
          <w:sz w:val="30"/>
          <w:szCs w:val="24"/>
          <w:rtl/>
        </w:rPr>
        <w:t>–</w:t>
      </w:r>
      <w:r w:rsidRPr="007D3BF9">
        <w:rPr>
          <w:rFonts w:hint="cs"/>
          <w:sz w:val="30"/>
          <w:szCs w:val="24"/>
          <w:rtl/>
        </w:rPr>
        <w:t xml:space="preserve"> תורת הפרשנות, והפילוסופיה של הלשון. הלמדנות בעיקרה היא שיח פרשני, וככזו </w:t>
      </w:r>
      <w:r w:rsidRPr="007D3BF9">
        <w:rPr>
          <w:sz w:val="30"/>
          <w:szCs w:val="24"/>
          <w:rtl/>
        </w:rPr>
        <w:t>–</w:t>
      </w:r>
      <w:r w:rsidRPr="007D3BF9">
        <w:rPr>
          <w:rFonts w:hint="cs"/>
          <w:sz w:val="30"/>
          <w:szCs w:val="24"/>
          <w:rtl/>
        </w:rPr>
        <w:t xml:space="preserve"> מרתק לבחון את האופנים שבהם היא מתייחסת אל המילה הכתובה ואל המושג שאותו היא מפרשת.</w:t>
      </w:r>
      <w:r w:rsidRPr="007D3BF9">
        <w:rPr>
          <w:rStyle w:val="a5"/>
          <w:sz w:val="30"/>
          <w:szCs w:val="24"/>
          <w:rtl/>
        </w:rPr>
        <w:footnoteReference w:id="6"/>
      </w:r>
      <w:r w:rsidRPr="007D3BF9">
        <w:rPr>
          <w:rFonts w:hint="cs"/>
          <w:sz w:val="30"/>
          <w:szCs w:val="24"/>
          <w:rtl/>
        </w:rPr>
        <w:t xml:space="preserve"> ייתכן, ששימוש בהמשגות ובכלי הניתוח שפותחו בתחומים אלו יוכל להאיר את האספקט הלמדני ולהציע מסגרת מושגית מתאימה לאפיון ולהגדרה שלו. </w:t>
      </w:r>
    </w:p>
    <w:p w:rsidR="00650764" w:rsidRPr="007D3BF9" w:rsidRDefault="00650764" w:rsidP="00650764">
      <w:pPr>
        <w:rPr>
          <w:rFonts w:hint="cs"/>
          <w:sz w:val="30"/>
          <w:szCs w:val="24"/>
          <w:rtl/>
        </w:rPr>
      </w:pPr>
    </w:p>
    <w:p w:rsidR="00650764" w:rsidRDefault="00650764" w:rsidP="00650764">
      <w:pPr>
        <w:rPr>
          <w:rFonts w:hint="cs"/>
          <w:sz w:val="30"/>
          <w:szCs w:val="24"/>
          <w:rtl/>
        </w:rPr>
      </w:pPr>
      <w:r>
        <w:rPr>
          <w:rFonts w:hint="cs"/>
          <w:sz w:val="30"/>
          <w:szCs w:val="24"/>
          <w:rtl/>
        </w:rPr>
        <w:t xml:space="preserve">כאמור, הקשרים אלו ושאלות המחקר שהם מעלים הם אלו שיתחמו את </w:t>
      </w:r>
      <w:r w:rsidRPr="007D3BF9">
        <w:rPr>
          <w:rFonts w:hint="cs"/>
          <w:sz w:val="30"/>
          <w:szCs w:val="24"/>
          <w:rtl/>
        </w:rPr>
        <w:t xml:space="preserve">הסימנים שבהם אעסוק בעבודה באופן אינטנסיבי יותר. מטבע הדברים, יהיו אלו החלקים בספר שיש בהם זיקה עשירה לאחד מן המעגלים שתוארו לעיל </w:t>
      </w:r>
      <w:r w:rsidRPr="007D3BF9">
        <w:rPr>
          <w:sz w:val="30"/>
          <w:szCs w:val="24"/>
          <w:rtl/>
        </w:rPr>
        <w:t>–</w:t>
      </w:r>
      <w:r w:rsidRPr="007D3BF9">
        <w:rPr>
          <w:rFonts w:hint="cs"/>
          <w:sz w:val="30"/>
          <w:szCs w:val="24"/>
          <w:rtl/>
        </w:rPr>
        <w:t xml:space="preserve"> דיונים </w:t>
      </w:r>
      <w:r>
        <w:rPr>
          <w:rFonts w:hint="cs"/>
          <w:sz w:val="30"/>
          <w:szCs w:val="24"/>
          <w:rtl/>
        </w:rPr>
        <w:t xml:space="preserve">ופולמוסים </w:t>
      </w:r>
      <w:r w:rsidRPr="007D3BF9">
        <w:rPr>
          <w:rFonts w:hint="cs"/>
          <w:sz w:val="30"/>
          <w:szCs w:val="24"/>
          <w:rtl/>
        </w:rPr>
        <w:t>עם קודמיו או עם בני דורו, זיקות לרקע היסטורי ריאלי, ביטויים לעמדות תיאולוגיות או לצורות חשיבה משפטיות וכד</w:t>
      </w:r>
      <w:r>
        <w:rPr>
          <w:sz w:val="30"/>
          <w:szCs w:val="24"/>
          <w:rtl/>
        </w:rPr>
        <w:t>"</w:t>
      </w:r>
      <w:r w:rsidRPr="007D3BF9">
        <w:rPr>
          <w:rFonts w:hint="cs"/>
          <w:sz w:val="30"/>
          <w:szCs w:val="24"/>
          <w:rtl/>
        </w:rPr>
        <w:t xml:space="preserve">. </w:t>
      </w:r>
    </w:p>
    <w:p w:rsidR="00650764" w:rsidRDefault="00650764" w:rsidP="00650764">
      <w:pPr>
        <w:rPr>
          <w:rFonts w:hint="cs"/>
          <w:sz w:val="30"/>
          <w:szCs w:val="24"/>
          <w:rtl/>
        </w:rPr>
      </w:pPr>
    </w:p>
    <w:p w:rsidR="00650764" w:rsidRPr="007D3BF9" w:rsidRDefault="00650764" w:rsidP="00650764">
      <w:pPr>
        <w:rPr>
          <w:rFonts w:hint="cs"/>
          <w:sz w:val="30"/>
          <w:szCs w:val="24"/>
          <w:rtl/>
        </w:rPr>
      </w:pPr>
      <w:r w:rsidRPr="007D3BF9">
        <w:rPr>
          <w:rFonts w:hint="cs"/>
          <w:sz w:val="30"/>
          <w:szCs w:val="24"/>
          <w:rtl/>
        </w:rPr>
        <w:t xml:space="preserve">תקוותי היא ששילובם של כל אלו יאפשר מבט פנומנולוגי מעמיק על ניצני הלמדנות בספר </w:t>
      </w:r>
      <w:r>
        <w:rPr>
          <w:sz w:val="30"/>
          <w:szCs w:val="24"/>
          <w:rtl/>
        </w:rPr>
        <w:t>"</w:t>
      </w:r>
      <w:r w:rsidRPr="007D3BF9">
        <w:rPr>
          <w:rFonts w:hint="cs"/>
          <w:sz w:val="30"/>
          <w:szCs w:val="24"/>
          <w:rtl/>
        </w:rPr>
        <w:t>קצות החושן</w:t>
      </w:r>
      <w:r>
        <w:rPr>
          <w:sz w:val="30"/>
          <w:szCs w:val="24"/>
          <w:rtl/>
        </w:rPr>
        <w:t>"</w:t>
      </w:r>
      <w:r w:rsidRPr="007D3BF9">
        <w:rPr>
          <w:rFonts w:hint="cs"/>
          <w:sz w:val="30"/>
          <w:szCs w:val="24"/>
          <w:rtl/>
        </w:rPr>
        <w:t xml:space="preserve">. </w:t>
      </w:r>
    </w:p>
    <w:p w:rsidR="004735EF" w:rsidRDefault="004735EF" w:rsidP="00650764">
      <w:pPr>
        <w:pStyle w:val="a7"/>
        <w:numPr>
          <w:ilvl w:val="0"/>
          <w:numId w:val="1"/>
        </w:numPr>
      </w:pPr>
    </w:p>
    <w:sectPr w:rsidR="004735EF" w:rsidSect="007D0A2D">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C8" w:rsidRDefault="008748C8" w:rsidP="00650764">
      <w:pPr>
        <w:spacing w:line="240" w:lineRule="auto"/>
      </w:pPr>
      <w:r>
        <w:separator/>
      </w:r>
    </w:p>
  </w:endnote>
  <w:endnote w:type="continuationSeparator" w:id="0">
    <w:p w:rsidR="008748C8" w:rsidRDefault="008748C8" w:rsidP="006507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C8" w:rsidRDefault="008748C8" w:rsidP="00650764">
      <w:pPr>
        <w:spacing w:line="240" w:lineRule="auto"/>
      </w:pPr>
      <w:r>
        <w:separator/>
      </w:r>
    </w:p>
  </w:footnote>
  <w:footnote w:type="continuationSeparator" w:id="0">
    <w:p w:rsidR="008748C8" w:rsidRDefault="008748C8" w:rsidP="00650764">
      <w:pPr>
        <w:spacing w:line="240" w:lineRule="auto"/>
      </w:pPr>
      <w:r>
        <w:continuationSeparator/>
      </w:r>
    </w:p>
  </w:footnote>
  <w:footnote w:id="1">
    <w:p w:rsidR="00650764" w:rsidRPr="00C22953" w:rsidRDefault="00650764" w:rsidP="00650764">
      <w:pPr>
        <w:pStyle w:val="a3"/>
        <w:rPr>
          <w:rFonts w:hint="cs"/>
          <w:sz w:val="18"/>
          <w:szCs w:val="18"/>
          <w:rtl/>
        </w:rPr>
      </w:pPr>
      <w:r w:rsidRPr="00C22953">
        <w:rPr>
          <w:rStyle w:val="a5"/>
          <w:sz w:val="18"/>
          <w:szCs w:val="18"/>
        </w:rPr>
        <w:footnoteRef/>
      </w:r>
      <w:r w:rsidRPr="00C22953">
        <w:rPr>
          <w:sz w:val="18"/>
          <w:szCs w:val="18"/>
          <w:rtl/>
        </w:rPr>
        <w:t xml:space="preserve"> </w:t>
      </w:r>
      <w:r w:rsidRPr="00C22953">
        <w:rPr>
          <w:rFonts w:hint="cs"/>
          <w:sz w:val="18"/>
          <w:szCs w:val="18"/>
          <w:rtl/>
        </w:rPr>
        <w:t xml:space="preserve">כוונתי כאן לא רק לאפיון המהלכים עצמם, אלא גם לחשיבה מסדר שני </w:t>
      </w:r>
      <w:r w:rsidRPr="00C22953">
        <w:rPr>
          <w:sz w:val="18"/>
          <w:szCs w:val="18"/>
          <w:rtl/>
        </w:rPr>
        <w:t>–</w:t>
      </w:r>
      <w:r w:rsidRPr="00C22953">
        <w:rPr>
          <w:rFonts w:hint="cs"/>
          <w:sz w:val="18"/>
          <w:szCs w:val="18"/>
          <w:rtl/>
        </w:rPr>
        <w:t xml:space="preserve"> מהן התודעות הפרשניות שמובילות ומאפשרות מהלכים מסוג זה. </w:t>
      </w:r>
    </w:p>
  </w:footnote>
  <w:footnote w:id="2">
    <w:p w:rsidR="00650764" w:rsidRPr="00C22953" w:rsidRDefault="00650764" w:rsidP="00650764">
      <w:pPr>
        <w:pStyle w:val="a3"/>
        <w:rPr>
          <w:rFonts w:hint="cs"/>
          <w:sz w:val="18"/>
          <w:szCs w:val="18"/>
        </w:rPr>
      </w:pPr>
      <w:r w:rsidRPr="00C22953">
        <w:rPr>
          <w:rStyle w:val="a5"/>
          <w:sz w:val="18"/>
          <w:szCs w:val="18"/>
        </w:rPr>
        <w:footnoteRef/>
      </w:r>
      <w:r w:rsidRPr="00C22953">
        <w:rPr>
          <w:sz w:val="18"/>
          <w:szCs w:val="18"/>
          <w:rtl/>
        </w:rPr>
        <w:t xml:space="preserve"> </w:t>
      </w:r>
      <w:r w:rsidRPr="00C22953">
        <w:rPr>
          <w:rFonts w:hint="cs"/>
          <w:sz w:val="18"/>
          <w:szCs w:val="18"/>
          <w:rtl/>
        </w:rPr>
        <w:t>נראה לי שיש תועלת רבה בחידוד ההבדלים שבין הלמדנות הפלפולית של ה</w:t>
      </w:r>
      <w:r>
        <w:rPr>
          <w:sz w:val="18"/>
          <w:szCs w:val="18"/>
          <w:rtl/>
        </w:rPr>
        <w:t>"</w:t>
      </w:r>
      <w:r w:rsidRPr="00C22953">
        <w:rPr>
          <w:rFonts w:hint="cs"/>
          <w:sz w:val="18"/>
          <w:szCs w:val="18"/>
          <w:rtl/>
        </w:rPr>
        <w:t>קצות</w:t>
      </w:r>
      <w:r>
        <w:rPr>
          <w:sz w:val="18"/>
          <w:szCs w:val="18"/>
          <w:rtl/>
        </w:rPr>
        <w:t>"</w:t>
      </w:r>
      <w:r w:rsidRPr="00C22953">
        <w:rPr>
          <w:rFonts w:hint="cs"/>
          <w:sz w:val="18"/>
          <w:szCs w:val="18"/>
          <w:rtl/>
        </w:rPr>
        <w:t xml:space="preserve"> לבין הלמדנות האנליטית מבית המדרש הבריסקאית. המבט הרווח במחקר (וגם קצת בעולם הישיבות) אינו מבחין כמעט בין סוגי הלמדנות השונים ומשמעויותיהם, ועל כן מחמיץ לדעתי חלק גדול מן המורכבות והעושר של התופעה. </w:t>
      </w:r>
    </w:p>
  </w:footnote>
  <w:footnote w:id="3">
    <w:p w:rsidR="00650764" w:rsidRPr="00C22953" w:rsidRDefault="00650764" w:rsidP="00650764">
      <w:pPr>
        <w:pStyle w:val="a3"/>
        <w:rPr>
          <w:rFonts w:hint="cs"/>
          <w:sz w:val="18"/>
          <w:szCs w:val="18"/>
        </w:rPr>
      </w:pPr>
      <w:r w:rsidRPr="00C22953">
        <w:rPr>
          <w:rStyle w:val="a5"/>
          <w:sz w:val="18"/>
          <w:szCs w:val="18"/>
        </w:rPr>
        <w:footnoteRef/>
      </w:r>
      <w:r w:rsidRPr="00C22953">
        <w:rPr>
          <w:sz w:val="18"/>
          <w:szCs w:val="18"/>
          <w:rtl/>
        </w:rPr>
        <w:t xml:space="preserve"> </w:t>
      </w:r>
      <w:r w:rsidRPr="00C22953">
        <w:rPr>
          <w:rFonts w:hint="cs"/>
          <w:sz w:val="18"/>
          <w:szCs w:val="18"/>
          <w:rtl/>
        </w:rPr>
        <w:t>אמנם יש להעיר, שכיוון שהמוקד של עבודה זו הוא מתודולוגי, הרי שמקומו של המחקר ההיסטורי במסגרתה הוא משני. כמובן, אין כוונתי לזלזול במחקר ההיסטורי המוקפד הנדרש על מנת להציב את הדברים בהקשרם הנכון, אלא רק לכך שהמחקר ההיסטורי יוגבל למקום שבו הוא משרת את הניתוח המתודולוגי, ואיננו עומד כאן כמטרה בפני עצמו.</w:t>
      </w:r>
    </w:p>
  </w:footnote>
  <w:footnote w:id="4">
    <w:p w:rsidR="00650764" w:rsidRPr="00C22953" w:rsidRDefault="00650764" w:rsidP="00650764">
      <w:pPr>
        <w:pStyle w:val="a3"/>
        <w:rPr>
          <w:rFonts w:hint="cs"/>
          <w:sz w:val="18"/>
          <w:szCs w:val="18"/>
          <w:rtl/>
        </w:rPr>
      </w:pPr>
      <w:r w:rsidRPr="00C22953">
        <w:rPr>
          <w:rStyle w:val="a5"/>
          <w:sz w:val="18"/>
          <w:szCs w:val="18"/>
        </w:rPr>
        <w:footnoteRef/>
      </w:r>
      <w:r w:rsidRPr="00C22953">
        <w:rPr>
          <w:sz w:val="18"/>
          <w:szCs w:val="18"/>
          <w:rtl/>
        </w:rPr>
        <w:t xml:space="preserve"> </w:t>
      </w:r>
      <w:r w:rsidRPr="00C22953">
        <w:rPr>
          <w:rFonts w:hint="cs"/>
          <w:sz w:val="18"/>
          <w:szCs w:val="18"/>
          <w:rtl/>
        </w:rPr>
        <w:t xml:space="preserve">דומני שהארכיון </w:t>
      </w:r>
      <w:r>
        <w:rPr>
          <w:rFonts w:hint="cs"/>
          <w:sz w:val="18"/>
          <w:szCs w:val="18"/>
          <w:rtl/>
        </w:rPr>
        <w:t xml:space="preserve">העיקרי </w:t>
      </w:r>
      <w:r w:rsidRPr="00C22953">
        <w:rPr>
          <w:rFonts w:hint="cs"/>
          <w:sz w:val="18"/>
          <w:szCs w:val="18"/>
          <w:rtl/>
        </w:rPr>
        <w:t xml:space="preserve">הרלוונטי במקרה זה הוא הארכיון המרכזי בלבוב, שאליו רכזו הקומוניסטים את כל הארכיונים בסביבה. בזכות הסדר האוסטרי והקפדנות הקומוניסטית נשמרו בארכיון זה בצורה טובה מסמכי העיר סטרי מן התקופה הרלוונטית. </w:t>
      </w:r>
    </w:p>
    <w:p w:rsidR="00650764" w:rsidRPr="00C22953" w:rsidRDefault="00650764" w:rsidP="00650764">
      <w:pPr>
        <w:pStyle w:val="a3"/>
        <w:rPr>
          <w:rFonts w:hint="cs"/>
          <w:sz w:val="18"/>
          <w:szCs w:val="18"/>
          <w:rtl/>
        </w:rPr>
      </w:pPr>
      <w:r w:rsidRPr="00C22953">
        <w:rPr>
          <w:rFonts w:hint="cs"/>
          <w:sz w:val="18"/>
          <w:szCs w:val="18"/>
          <w:rtl/>
        </w:rPr>
        <w:t xml:space="preserve">דוגמא לנפתולי המקורות בתחום זה ניתן להביא מהתיאור הבא: במאמרו של גלבר (לעיל הערה </w:t>
      </w:r>
      <w:r w:rsidRPr="00C22953">
        <w:rPr>
          <w:sz w:val="18"/>
          <w:szCs w:val="18"/>
          <w:rtl/>
        </w:rPr>
        <w:fldChar w:fldCharType="begin"/>
      </w:r>
      <w:r w:rsidRPr="00C22953">
        <w:rPr>
          <w:sz w:val="18"/>
          <w:szCs w:val="18"/>
          <w:rtl/>
        </w:rPr>
        <w:instrText xml:space="preserve"> </w:instrText>
      </w:r>
      <w:r w:rsidRPr="00C22953">
        <w:rPr>
          <w:rFonts w:hint="cs"/>
          <w:sz w:val="18"/>
          <w:szCs w:val="18"/>
        </w:rPr>
        <w:instrText>NOTEREF</w:instrText>
      </w:r>
      <w:r w:rsidRPr="00C22953">
        <w:rPr>
          <w:rFonts w:hint="cs"/>
          <w:sz w:val="18"/>
          <w:szCs w:val="18"/>
          <w:rtl/>
        </w:rPr>
        <w:instrText xml:space="preserve"> _</w:instrText>
      </w:r>
      <w:r w:rsidRPr="00C22953">
        <w:rPr>
          <w:rFonts w:hint="cs"/>
          <w:sz w:val="18"/>
          <w:szCs w:val="18"/>
        </w:rPr>
        <w:instrText>Ref300161951 \h</w:instrText>
      </w:r>
      <w:r w:rsidRPr="00C22953">
        <w:rPr>
          <w:sz w:val="18"/>
          <w:szCs w:val="18"/>
          <w:rtl/>
        </w:rPr>
        <w:instrText xml:space="preserve">  \* </w:instrText>
      </w:r>
      <w:r w:rsidRPr="00C22953">
        <w:rPr>
          <w:sz w:val="18"/>
          <w:szCs w:val="18"/>
        </w:rPr>
        <w:instrText>MERGEFORMAT</w:instrText>
      </w:r>
      <w:r w:rsidRPr="00C22953">
        <w:rPr>
          <w:sz w:val="18"/>
          <w:szCs w:val="18"/>
          <w:rtl/>
        </w:rPr>
        <w:instrText xml:space="preserve"> </w:instrText>
      </w:r>
      <w:r w:rsidRPr="00C22953">
        <w:rPr>
          <w:sz w:val="18"/>
          <w:szCs w:val="18"/>
          <w:rtl/>
        </w:rPr>
        <w:fldChar w:fldCharType="separate"/>
      </w:r>
      <w:r>
        <w:rPr>
          <w:rFonts w:hint="cs"/>
          <w:sz w:val="18"/>
          <w:szCs w:val="18"/>
          <w:rtl/>
        </w:rPr>
        <w:t>שגיאה! הסימניה אינה מוגדרת.</w:t>
      </w:r>
      <w:r w:rsidRPr="00C22953">
        <w:rPr>
          <w:sz w:val="18"/>
          <w:szCs w:val="18"/>
          <w:rtl/>
        </w:rPr>
        <w:fldChar w:fldCharType="end"/>
      </w:r>
      <w:r w:rsidRPr="00C22953">
        <w:rPr>
          <w:rFonts w:hint="cs"/>
          <w:sz w:val="18"/>
          <w:szCs w:val="18"/>
          <w:rtl/>
        </w:rPr>
        <w:t>), הוא מציין שרא"ל נעצר למשך 24 שעות על ידי שלטונות העיר באשמת סידור גט בלתי חוקי. כיוון שלא מצאתי לכך מקור בסקירות מוקדמות יותר, וכיוון שגם נימת התיאור היא פורמלית משהו, יש להניח שהמקור של גלבר הוא מסמך בארכיון בלבוב</w:t>
      </w:r>
      <w:r>
        <w:rPr>
          <w:rFonts w:hint="cs"/>
          <w:sz w:val="18"/>
          <w:szCs w:val="18"/>
          <w:rtl/>
        </w:rPr>
        <w:t xml:space="preserve"> או בוינה</w:t>
      </w:r>
      <w:r w:rsidRPr="00C22953">
        <w:rPr>
          <w:rFonts w:hint="cs"/>
          <w:sz w:val="18"/>
          <w:szCs w:val="18"/>
          <w:rtl/>
        </w:rPr>
        <w:t>. נראה, שמשם התגלגל הסיפור הזה בלבוש עשיר יותר</w:t>
      </w:r>
      <w:r>
        <w:rPr>
          <w:rFonts w:hint="cs"/>
          <w:sz w:val="18"/>
          <w:szCs w:val="18"/>
          <w:rtl/>
        </w:rPr>
        <w:t xml:space="preserve"> ובשינוי פרטים קל לסקירתו של הר-</w:t>
      </w:r>
      <w:r w:rsidRPr="00C22953">
        <w:rPr>
          <w:rFonts w:hint="cs"/>
          <w:sz w:val="18"/>
          <w:szCs w:val="18"/>
          <w:rtl/>
        </w:rPr>
        <w:t xml:space="preserve">זוהר (לעיל הערה </w:t>
      </w:r>
      <w:r>
        <w:rPr>
          <w:sz w:val="18"/>
          <w:szCs w:val="18"/>
          <w:rtl/>
        </w:rPr>
        <w:fldChar w:fldCharType="begin"/>
      </w:r>
      <w:r>
        <w:rPr>
          <w:sz w:val="18"/>
          <w:szCs w:val="18"/>
          <w:rtl/>
        </w:rPr>
        <w:instrText xml:space="preserve"> </w:instrText>
      </w:r>
      <w:r>
        <w:rPr>
          <w:rFonts w:hint="cs"/>
          <w:sz w:val="18"/>
          <w:szCs w:val="18"/>
        </w:rPr>
        <w:instrText>NOTEREF</w:instrText>
      </w:r>
      <w:r>
        <w:rPr>
          <w:rFonts w:hint="cs"/>
          <w:sz w:val="18"/>
          <w:szCs w:val="18"/>
          <w:rtl/>
        </w:rPr>
        <w:instrText xml:space="preserve"> _</w:instrText>
      </w:r>
      <w:r>
        <w:rPr>
          <w:rFonts w:hint="cs"/>
          <w:sz w:val="18"/>
          <w:szCs w:val="18"/>
        </w:rPr>
        <w:instrText>Ref304110346 \h</w:instrText>
      </w:r>
      <w:r>
        <w:rPr>
          <w:sz w:val="18"/>
          <w:szCs w:val="18"/>
          <w:rtl/>
        </w:rPr>
        <w:instrText xml:space="preserve"> </w:instrText>
      </w:r>
      <w:r w:rsidRPr="003D44D2">
        <w:rPr>
          <w:sz w:val="18"/>
          <w:szCs w:val="18"/>
        </w:rPr>
      </w:r>
      <w:r>
        <w:rPr>
          <w:sz w:val="18"/>
          <w:szCs w:val="18"/>
          <w:rtl/>
        </w:rPr>
        <w:fldChar w:fldCharType="separate"/>
      </w:r>
      <w:r>
        <w:rPr>
          <w:sz w:val="18"/>
          <w:szCs w:val="18"/>
          <w:rtl/>
        </w:rPr>
        <w:t>17</w:t>
      </w:r>
      <w:r>
        <w:rPr>
          <w:sz w:val="18"/>
          <w:szCs w:val="18"/>
          <w:rtl/>
        </w:rPr>
        <w:fldChar w:fldCharType="end"/>
      </w:r>
      <w:r w:rsidRPr="00C22953">
        <w:rPr>
          <w:rFonts w:hint="cs"/>
          <w:sz w:val="18"/>
          <w:szCs w:val="18"/>
          <w:rtl/>
        </w:rPr>
        <w:t xml:space="preserve">) ולסקירתו של גרליץ, </w:t>
      </w:r>
      <w:r w:rsidRPr="00C22953">
        <w:rPr>
          <w:rFonts w:hint="cs"/>
          <w:b/>
          <w:bCs/>
          <w:sz w:val="18"/>
          <w:szCs w:val="18"/>
          <w:rtl/>
        </w:rPr>
        <w:t>בקצה היריעה</w:t>
      </w:r>
      <w:r w:rsidRPr="00C22953">
        <w:rPr>
          <w:rFonts w:hint="cs"/>
          <w:sz w:val="18"/>
          <w:szCs w:val="18"/>
          <w:rtl/>
        </w:rPr>
        <w:t xml:space="preserve">, </w:t>
      </w:r>
      <w:r>
        <w:rPr>
          <w:rFonts w:hint="cs"/>
          <w:sz w:val="18"/>
          <w:szCs w:val="18"/>
          <w:rtl/>
        </w:rPr>
        <w:t>עמ</w:t>
      </w:r>
      <w:r>
        <w:rPr>
          <w:sz w:val="18"/>
          <w:szCs w:val="18"/>
          <w:rtl/>
        </w:rPr>
        <w:t>'</w:t>
      </w:r>
      <w:r w:rsidRPr="00C22953">
        <w:rPr>
          <w:rFonts w:hint="cs"/>
          <w:sz w:val="18"/>
          <w:szCs w:val="18"/>
          <w:rtl/>
        </w:rPr>
        <w:t xml:space="preserve"> יט. שם </w:t>
      </w:r>
      <w:r w:rsidRPr="00C22953">
        <w:rPr>
          <w:sz w:val="18"/>
          <w:szCs w:val="18"/>
          <w:rtl/>
        </w:rPr>
        <w:t>–</w:t>
      </w:r>
      <w:r w:rsidRPr="00C22953">
        <w:rPr>
          <w:rFonts w:hint="cs"/>
          <w:sz w:val="18"/>
          <w:szCs w:val="18"/>
          <w:rtl/>
        </w:rPr>
        <w:t xml:space="preserve"> כבר משמש הסיפור הזה להצגת דמותו של רא"ל כמי שניצב ללא חת על המשמר כנגד השלטונות, עד שהגיע אפילו לכלא...</w:t>
      </w:r>
    </w:p>
  </w:footnote>
  <w:footnote w:id="5">
    <w:p w:rsidR="00650764" w:rsidRPr="00C22953" w:rsidRDefault="00650764" w:rsidP="00650764">
      <w:pPr>
        <w:pStyle w:val="a3"/>
        <w:rPr>
          <w:rFonts w:hint="cs"/>
          <w:sz w:val="18"/>
          <w:szCs w:val="18"/>
          <w:rtl/>
        </w:rPr>
      </w:pPr>
      <w:r w:rsidRPr="00C22953">
        <w:rPr>
          <w:rStyle w:val="a5"/>
          <w:sz w:val="18"/>
          <w:szCs w:val="18"/>
        </w:rPr>
        <w:footnoteRef/>
      </w:r>
      <w:r w:rsidRPr="00C22953">
        <w:rPr>
          <w:sz w:val="18"/>
          <w:szCs w:val="18"/>
          <w:rtl/>
        </w:rPr>
        <w:t xml:space="preserve"> </w:t>
      </w:r>
      <w:r w:rsidRPr="00C22953">
        <w:rPr>
          <w:rFonts w:hint="cs"/>
          <w:sz w:val="18"/>
          <w:szCs w:val="18"/>
          <w:rtl/>
        </w:rPr>
        <w:t xml:space="preserve">ראה המקורות שהובאו לעיל הערה </w:t>
      </w:r>
      <w:fldSimple w:instr=" NOTEREF _Ref300225955 \h  \* MERGEFORMAT ">
        <w:r>
          <w:rPr>
            <w:sz w:val="18"/>
            <w:szCs w:val="18"/>
            <w:rtl/>
          </w:rPr>
          <w:t>93</w:t>
        </w:r>
      </w:fldSimple>
      <w:r w:rsidRPr="00C22953">
        <w:rPr>
          <w:rFonts w:hint="cs"/>
          <w:sz w:val="18"/>
          <w:szCs w:val="18"/>
          <w:rtl/>
        </w:rPr>
        <w:t xml:space="preserve"> ביחס לזיקה בין תורת המשפט לבין הלמדנות וההלכה. </w:t>
      </w:r>
    </w:p>
  </w:footnote>
  <w:footnote w:id="6">
    <w:p w:rsidR="00650764" w:rsidRPr="00C22953" w:rsidRDefault="00650764" w:rsidP="00650764">
      <w:pPr>
        <w:pStyle w:val="a3"/>
        <w:rPr>
          <w:rFonts w:hint="cs"/>
          <w:sz w:val="18"/>
          <w:szCs w:val="18"/>
        </w:rPr>
      </w:pPr>
      <w:r w:rsidRPr="00C22953">
        <w:rPr>
          <w:rStyle w:val="a5"/>
          <w:sz w:val="18"/>
          <w:szCs w:val="18"/>
        </w:rPr>
        <w:footnoteRef/>
      </w:r>
      <w:r w:rsidRPr="00C22953">
        <w:rPr>
          <w:sz w:val="18"/>
          <w:szCs w:val="18"/>
          <w:rtl/>
        </w:rPr>
        <w:t xml:space="preserve"> </w:t>
      </w:r>
      <w:r w:rsidRPr="00C22953">
        <w:rPr>
          <w:rFonts w:hint="cs"/>
          <w:sz w:val="18"/>
          <w:szCs w:val="18"/>
          <w:rtl/>
        </w:rPr>
        <w:t>ראה הצעתו של בראון ברוח זו, בנספח ה</w:t>
      </w:r>
      <w:r>
        <w:rPr>
          <w:sz w:val="18"/>
          <w:szCs w:val="18"/>
          <w:rtl/>
        </w:rPr>
        <w:t>"</w:t>
      </w:r>
      <w:r w:rsidRPr="00C22953">
        <w:rPr>
          <w:rFonts w:hint="cs"/>
          <w:sz w:val="18"/>
          <w:szCs w:val="18"/>
          <w:rtl/>
        </w:rPr>
        <w:t xml:space="preserve"> לעבודתו </w:t>
      </w:r>
      <w:r w:rsidRPr="00C22953">
        <w:rPr>
          <w:rFonts w:hint="cs"/>
          <w:b/>
          <w:bCs/>
          <w:sz w:val="18"/>
          <w:szCs w:val="18"/>
          <w:rtl/>
        </w:rPr>
        <w:t>החזון אי"ש</w:t>
      </w:r>
      <w:r w:rsidRPr="00C22953">
        <w:rPr>
          <w:rFonts w:hint="cs"/>
          <w:sz w:val="18"/>
          <w:szCs w:val="18"/>
          <w:rtl/>
        </w:rPr>
        <w:t xml:space="preserve">, </w:t>
      </w:r>
      <w:r>
        <w:rPr>
          <w:rFonts w:hint="cs"/>
          <w:sz w:val="18"/>
          <w:szCs w:val="18"/>
          <w:rtl/>
        </w:rPr>
        <w:t>עמ</w:t>
      </w:r>
      <w:r>
        <w:rPr>
          <w:sz w:val="18"/>
          <w:szCs w:val="18"/>
          <w:rtl/>
        </w:rPr>
        <w:t>'</w:t>
      </w:r>
      <w:r w:rsidRPr="00C22953">
        <w:rPr>
          <w:rFonts w:hint="cs"/>
          <w:sz w:val="18"/>
          <w:szCs w:val="18"/>
          <w:rtl/>
        </w:rPr>
        <w:t xml:space="preserve"> 58-56, וראה נספח </w:t>
      </w:r>
      <w:r>
        <w:rPr>
          <w:rFonts w:hint="cs"/>
          <w:sz w:val="18"/>
          <w:szCs w:val="18"/>
          <w:rtl/>
        </w:rPr>
        <w:t>ג</w:t>
      </w:r>
      <w:r>
        <w:rPr>
          <w:sz w:val="18"/>
          <w:szCs w:val="18"/>
          <w:rtl/>
        </w:rPr>
        <w:t>'</w:t>
      </w:r>
      <w:r w:rsidRPr="00C22953">
        <w:rPr>
          <w:rFonts w:hint="cs"/>
          <w:sz w:val="18"/>
          <w:szCs w:val="18"/>
          <w:rtl/>
        </w:rPr>
        <w:t xml:space="preserve"> לעבודתו של טיקוצ</w:t>
      </w:r>
      <w:r>
        <w:rPr>
          <w:sz w:val="18"/>
          <w:szCs w:val="18"/>
          <w:rtl/>
        </w:rPr>
        <w:t>"</w:t>
      </w:r>
      <w:r w:rsidRPr="00C22953">
        <w:rPr>
          <w:rFonts w:hint="cs"/>
          <w:sz w:val="18"/>
          <w:szCs w:val="18"/>
          <w:rtl/>
        </w:rPr>
        <w:t xml:space="preserve">ינסקי, </w:t>
      </w:r>
      <w:r w:rsidRPr="00C22953">
        <w:rPr>
          <w:rFonts w:hint="cs"/>
          <w:b/>
          <w:bCs/>
          <w:sz w:val="18"/>
          <w:szCs w:val="18"/>
          <w:rtl/>
        </w:rPr>
        <w:t>דרכי הלימוד</w:t>
      </w:r>
      <w:r w:rsidRPr="00C22953">
        <w:rPr>
          <w:rFonts w:hint="cs"/>
          <w:sz w:val="18"/>
          <w:szCs w:val="18"/>
          <w:rtl/>
        </w:rPr>
        <w:t xml:space="preserve">. מספר עבודות ראשוניות בתחום זה נעשו בהקשר התלמודי </w:t>
      </w:r>
      <w:r w:rsidRPr="00C22953">
        <w:rPr>
          <w:sz w:val="18"/>
          <w:szCs w:val="18"/>
          <w:rtl/>
        </w:rPr>
        <w:t>–</w:t>
      </w:r>
      <w:r w:rsidRPr="00C22953">
        <w:rPr>
          <w:rFonts w:hint="cs"/>
          <w:sz w:val="18"/>
          <w:szCs w:val="18"/>
          <w:rtl/>
        </w:rPr>
        <w:t xml:space="preserve"> ראה פורסטנברג, </w:t>
      </w:r>
      <w:r w:rsidRPr="00C22953">
        <w:rPr>
          <w:rFonts w:hint="cs"/>
          <w:b/>
          <w:bCs/>
          <w:sz w:val="18"/>
          <w:szCs w:val="18"/>
          <w:rtl/>
        </w:rPr>
        <w:t>שפות השיח</w:t>
      </w:r>
      <w:r w:rsidRPr="00C22953">
        <w:rPr>
          <w:rFonts w:hint="cs"/>
          <w:sz w:val="18"/>
          <w:szCs w:val="18"/>
          <w:rtl/>
        </w:rPr>
        <w:t xml:space="preserve"> וברנר, </w:t>
      </w:r>
      <w:r w:rsidRPr="00C22953">
        <w:rPr>
          <w:rFonts w:hint="cs"/>
          <w:b/>
          <w:bCs/>
          <w:sz w:val="18"/>
          <w:szCs w:val="18"/>
          <w:rtl/>
        </w:rPr>
        <w:t>מחקר</w:t>
      </w:r>
      <w:r w:rsidRPr="00C22953">
        <w:rPr>
          <w:rFonts w:hint="cs"/>
          <w:sz w:val="18"/>
          <w:szCs w:val="18"/>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5D8A"/>
    <w:multiLevelType w:val="hybridMultilevel"/>
    <w:tmpl w:val="3C1A2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50764"/>
    <w:rsid w:val="00101C26"/>
    <w:rsid w:val="004735EF"/>
    <w:rsid w:val="0059363D"/>
    <w:rsid w:val="00650764"/>
    <w:rsid w:val="007D0A2D"/>
    <w:rsid w:val="008748C8"/>
    <w:rsid w:val="00A50F0E"/>
    <w:rsid w:val="00F31FC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64"/>
    <w:pPr>
      <w:bidi/>
      <w:spacing w:after="0" w:line="360" w:lineRule="auto"/>
    </w:pPr>
    <w:rPr>
      <w:rFonts w:ascii="Times New Roman" w:eastAsia="Times New Roman" w:hAnsi="Times New Roman" w:cs="David"/>
      <w:noProof/>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50764"/>
    <w:rPr>
      <w:sz w:val="20"/>
      <w:szCs w:val="20"/>
    </w:rPr>
  </w:style>
  <w:style w:type="character" w:customStyle="1" w:styleId="a4">
    <w:name w:val="טקסט הערת שוליים תו"/>
    <w:basedOn w:val="a0"/>
    <w:link w:val="a3"/>
    <w:semiHidden/>
    <w:rsid w:val="00650764"/>
    <w:rPr>
      <w:rFonts w:ascii="Times New Roman" w:eastAsia="Times New Roman" w:hAnsi="Times New Roman" w:cs="David"/>
      <w:noProof/>
      <w:sz w:val="20"/>
      <w:szCs w:val="20"/>
      <w:lang w:eastAsia="he-IL"/>
    </w:rPr>
  </w:style>
  <w:style w:type="character" w:styleId="a5">
    <w:name w:val="footnote reference"/>
    <w:semiHidden/>
    <w:rsid w:val="00650764"/>
    <w:rPr>
      <w:vertAlign w:val="superscript"/>
    </w:rPr>
  </w:style>
  <w:style w:type="character" w:styleId="a6">
    <w:name w:val="Strong"/>
    <w:qFormat/>
    <w:rsid w:val="00650764"/>
    <w:rPr>
      <w:b/>
      <w:bCs/>
    </w:rPr>
  </w:style>
  <w:style w:type="paragraph" w:styleId="a7">
    <w:name w:val="List Paragraph"/>
    <w:basedOn w:val="a"/>
    <w:uiPriority w:val="34"/>
    <w:qFormat/>
    <w:rsid w:val="0065076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987</Words>
  <Characters>4938</Characters>
  <Application>Microsoft Office Word</Application>
  <DocSecurity>0</DocSecurity>
  <Lines>41</Lines>
  <Paragraphs>11</Paragraphs>
  <ScaleCrop>false</ScaleCrop>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2014-05-07T12:27:00Z</dcterms:created>
  <dcterms:modified xsi:type="dcterms:W3CDTF">2014-05-07T12:36:00Z</dcterms:modified>
</cp:coreProperties>
</file>